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9183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F891579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</w:t>
      </w:r>
      <w:r w:rsidR="00EB484A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4A54A7">
        <w:rPr>
          <w:rFonts w:ascii="Times New Roman" w:hAnsi="Times New Roman" w:cs="Times New Roman"/>
          <w:b/>
          <w:sz w:val="28"/>
          <w:szCs w:val="28"/>
        </w:rPr>
        <w:t>постанови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p w14:paraId="6909965A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постанови Кабінету Міністрів України </w:t>
      </w:r>
    </w:p>
    <w:p w14:paraId="2FD9DAE8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</w:t>
      </w:r>
      <w:r w:rsidR="0009669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="0009669A">
        <w:rPr>
          <w:rFonts w:ascii="Times New Roman" w:eastAsia="Times New Roman" w:hAnsi="Times New Roman" w:cs="Times New Roman"/>
          <w:b/>
          <w:bCs/>
          <w:sz w:val="28"/>
          <w:szCs w:val="28"/>
        </w:rPr>
        <w:t>квітня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року № 2</w:t>
      </w:r>
      <w:bookmarkStart w:id="0" w:name="n1702"/>
      <w:bookmarkEnd w:id="0"/>
      <w:r w:rsidR="0009669A">
        <w:rPr>
          <w:rFonts w:ascii="Times New Roman" w:eastAsia="Times New Roman" w:hAnsi="Times New Roman" w:cs="Times New Roman"/>
          <w:b/>
          <w:bCs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53AFB273" w14:textId="77777777" w:rsidR="009E2BCF" w:rsidRDefault="009E2BCF" w:rsidP="009E2B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n3"/>
      <w:bookmarkEnd w:id="1"/>
    </w:p>
    <w:p w14:paraId="165DBA26" w14:textId="77777777" w:rsidR="00666C9A" w:rsidRDefault="00666C9A" w:rsidP="009E2B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BB0B83" w14:textId="77777777" w:rsidR="009E2BCF" w:rsidRDefault="009E2BC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018C9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36B573E9" w14:textId="77777777" w:rsidR="00467796" w:rsidRDefault="0046779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6A2C8AE2" w14:textId="77777777" w:rsidR="004A54A7" w:rsidRDefault="006018C9" w:rsidP="002418CB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Метою прийняття </w:t>
      </w:r>
      <w:r w:rsidR="00721CE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проєкту 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акта</w:t>
      </w:r>
      <w:r w:rsidR="004A54A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є ефективне використання бюджетних коштів для забезпечення реалізації </w:t>
      </w:r>
      <w:r w:rsidR="001142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права </w:t>
      </w:r>
      <w:r w:rsidR="004A54A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внутрішньо переміщеними </w:t>
      </w:r>
      <w:r w:rsidR="004A54A7" w:rsidRPr="004A54A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особ</w:t>
      </w:r>
      <w:r w:rsidR="001142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ами</w:t>
      </w:r>
      <w:r w:rsidR="004A54A7" w:rsidRPr="004A54A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які захищали незалежність, суверенітет та територіальну цілісність України </w:t>
      </w:r>
      <w:r w:rsidR="001142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на житло, </w:t>
      </w:r>
      <w:r w:rsidR="0011420B" w:rsidRPr="001142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яке ними придбавається за раху</w:t>
      </w:r>
      <w:r w:rsidR="002D1C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нок коштів грошової компенсації</w:t>
      </w:r>
      <w:r w:rsidR="00C9195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="002D1C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та</w:t>
      </w:r>
      <w:r w:rsidR="00C068B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удосконалення </w:t>
      </w:r>
      <w:r w:rsidR="00C068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 w:rsidR="00C068B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</w:t>
      </w:r>
      <w:bookmarkStart w:id="2" w:name="_Hlk27831578"/>
      <w:r w:rsidR="00C068B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від </w:t>
      </w:r>
      <w:bookmarkStart w:id="3" w:name="_Hlk27831683"/>
      <w:bookmarkStart w:id="4" w:name="_Hlk27759873"/>
      <w:r w:rsidR="00C068B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18.04.2018 №</w:t>
      </w:r>
      <w:r w:rsidR="002418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 </w:t>
      </w:r>
      <w:r w:rsidR="00C068B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280 </w:t>
      </w:r>
      <w:r w:rsidR="00C068B9">
        <w:rPr>
          <w:rFonts w:ascii="Times New Roman" w:hAnsi="Times New Roman"/>
          <w:sz w:val="28"/>
          <w:szCs w:val="28"/>
          <w:lang w:eastAsia="uk-UA"/>
        </w:rPr>
        <w:t>“</w:t>
      </w:r>
      <w:r w:rsidR="00C068B9" w:rsidRPr="0009669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C068B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”</w:t>
      </w:r>
      <w:bookmarkEnd w:id="2"/>
      <w:bookmarkEnd w:id="3"/>
      <w:bookmarkEnd w:id="4"/>
      <w:r w:rsidR="002D1C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</w:p>
    <w:p w14:paraId="49D8E6C1" w14:textId="77777777" w:rsidR="006018C9" w:rsidRDefault="006018C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21194E1C" w14:textId="77777777" w:rsidR="006018C9" w:rsidRDefault="009E2BC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2. </w:t>
      </w:r>
      <w:r w:rsidR="006018C9" w:rsidRPr="00601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Обґрунтування необхідності прийняття акта</w:t>
      </w:r>
    </w:p>
    <w:p w14:paraId="62D65366" w14:textId="77777777" w:rsidR="006018C9" w:rsidRDefault="006018C9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534A57FB" w14:textId="77777777" w:rsidR="00173F0F" w:rsidRDefault="00173F0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5" w:name="_Hlk25165668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Проєкт </w:t>
      </w:r>
      <w:r w:rsidR="00FA77F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постанови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розроблений </w:t>
      </w:r>
      <w:r w:rsidR="001A137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з урахуванням пропозицій</w:t>
      </w:r>
      <w:r w:rsidR="001142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громадськ</w:t>
      </w:r>
      <w:r w:rsidR="001A137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их об’єднань,</w:t>
      </w:r>
      <w:r w:rsidR="001142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які опікуються вирішенням нагальних проблем ветеранів, які є внутрішньо переміщеними особами, </w:t>
      </w:r>
      <w:r w:rsidR="0054774E" w:rsidRPr="0054774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стосовно</w:t>
      </w:r>
      <w:r w:rsidR="0054774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передбачення </w:t>
      </w:r>
      <w:r w:rsidR="000908B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можливості спрямування коштів </w:t>
      </w:r>
      <w:r w:rsid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грошової компенсації за належні для отримання жилі приміщення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враховуючи</w:t>
      </w:r>
      <w:r w:rsidR="0054774E" w:rsidRPr="0054774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750859" w:rsidRP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реальн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у потребу</w:t>
      </w:r>
      <w:r w:rsidR="00750859" w:rsidRP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та особист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ий</w:t>
      </w:r>
      <w:r w:rsidR="00750859" w:rsidRP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внес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750859" w:rsidRP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к ветеран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війни</w:t>
      </w:r>
      <w:r w:rsidR="00750859" w:rsidRPr="0075085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в незалежність держави та її захист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14:paraId="661E0F8C" w14:textId="77777777" w:rsidR="00BB7244" w:rsidRDefault="001A137C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Четвертий рік реалізації бюджетної програми </w:t>
      </w:r>
      <w:r w:rsidRPr="001A137C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“Субвенція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19-20 частини першої статті 6 Закону України “Про статус ветеранів війни, гарантії їх соціального захисту”, та які потре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бують поліпшення житлових умов” </w:t>
      </w:r>
      <w:r w:rsidR="00E6526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(далі</w:t>
      </w:r>
      <w:r w:rsidR="00755413" w:rsidRPr="007554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E6526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- бюджетна програма 1511050) </w:t>
      </w:r>
      <w:r w:rsidR="00C9195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не дають </w:t>
      </w:r>
      <w:r w:rsid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очікуваних результатів у вирішенні</w:t>
      </w:r>
      <w:r w:rsidR="00847868" w:rsidRPr="00847868">
        <w:t xml:space="preserve"> </w:t>
      </w:r>
      <w:r w:rsid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внутрішньо переміщеними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ос</w:t>
      </w:r>
      <w:r w:rsid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 w:rsid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ами,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які захищали незалежність, суверенітет та територіальну цілісність України</w:t>
      </w:r>
      <w:r w:rsid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="00BB724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питань забезпечення їх житлом.</w:t>
      </w:r>
    </w:p>
    <w:p w14:paraId="2A47661F" w14:textId="77777777" w:rsidR="00EF2041" w:rsidRDefault="00ED70A0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етерани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війни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з числа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ED70A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внутрішньо переміщени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х осі</w:t>
      </w:r>
      <w:r w:rsidRPr="00ED70A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Pr="00ED70A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залишились без житла внаслідок збройної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ED70A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агресії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Р</w:t>
      </w:r>
      <w:r w:rsid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осійської Федерації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проти України</w:t>
      </w:r>
      <w:r w:rsidRPr="00ED70A0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r w:rsidR="00BB724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К</w:t>
      </w:r>
      <w:r w:rsidR="00BB7244" w:rsidRPr="00BB724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оли Україна була в небезпеці, ці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громадяни </w:t>
      </w:r>
      <w:r w:rsidR="00BB7244" w:rsidRPr="00BB724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пішли захищати її територіальну цілісність та боролися </w:t>
      </w:r>
      <w:r w:rsidR="00BB7244" w:rsidRPr="00BB724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 xml:space="preserve">з російськими окупаційними військами. Активну фазу </w:t>
      </w:r>
      <w:r w:rsidR="00DA570B" w:rsidRP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антитерористичної операції з силового звільнення</w:t>
      </w:r>
      <w:r w:rsid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A570B" w:rsidRP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територій Донецької та Луганської областей, що контролювалися</w:t>
      </w:r>
      <w:r w:rsid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A570B" w:rsidRP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підтриманими Росією незаконними збройними формуваннями</w:t>
      </w:r>
      <w:r w:rsidR="00DA570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="00BB7244" w:rsidRPr="00BB724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вдалося зупинити завдяки </w:t>
      </w:r>
      <w:r w:rsidR="00EF2041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їхній мужності. </w:t>
      </w:r>
    </w:p>
    <w:p w14:paraId="10257B32" w14:textId="77777777" w:rsidR="002D1C13" w:rsidRDefault="002D1C13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Pr="002D1C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оліпшення житлових умов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ветеранів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війни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-переселенців </w:t>
      </w:r>
      <w:r w:rsidRPr="002D1C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є невід'ємною і найважливішою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частиною соціальної політики</w:t>
      </w:r>
      <w:r w:rsidRPr="002D1C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держави.</w:t>
      </w:r>
    </w:p>
    <w:p w14:paraId="08F3EF08" w14:textId="77777777" w:rsidR="00847868" w:rsidRDefault="00ED70A0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Ч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ерга внутрішньо переміщених осіб, які захищали незалежність, суверенітет та територіальну цілісність України, на отримання житла, виплату грошової компенсації для придбання житла постійно зростає і</w:t>
      </w:r>
      <w:r w:rsidR="00847868" w:rsidRPr="00847868">
        <w:rPr>
          <w:rFonts w:ascii="Times New Roman" w:hAnsi="Times New Roman" w:cs="Times New Roman"/>
          <w:sz w:val="28"/>
          <w:szCs w:val="28"/>
        </w:rPr>
        <w:t xml:space="preserve"> з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а даними, отриманими від органів місцевого самоврядування, </w:t>
      </w:r>
      <w:r w:rsid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станом на 01.07.2021 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становить 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="002418C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 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769 осіб. </w:t>
      </w:r>
    </w:p>
    <w:p w14:paraId="1125AC6C" w14:textId="77777777" w:rsidR="007A4219" w:rsidRDefault="0008135B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Протягом 2020-2021 років</w:t>
      </w:r>
      <w:r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0348D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передбачений </w:t>
      </w:r>
      <w:r w:rsidR="00E6526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обсяг видатків </w:t>
      </w:r>
      <w:r w:rsidR="00C9195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(2020 рік - 248,4 млн грн, 2021 рік – 530,4 млн грн) </w:t>
      </w:r>
      <w:r w:rsidR="00E6526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на фінансування бюджетної програми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E6526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1511050 </w:t>
      </w:r>
      <w:r w:rsidR="007A4219" w:rsidRP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є недостатнім, щоб забезпечити в повному обсязі виплату грошової компенсації для придбання житла</w:t>
      </w:r>
      <w:r w:rsidR="007A4219" w:rsidRPr="007A4219">
        <w:t xml:space="preserve"> </w:t>
      </w:r>
      <w:r w:rsidR="007A4219" w:rsidRP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і 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покриває лише 8,1 % від потреби у 2020 році</w:t>
      </w:r>
      <w:r w:rsidR="002D1C13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13 % від потреби у 2021 році.</w:t>
      </w:r>
      <w:r w:rsidR="000348D4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14:paraId="6D546CA5" w14:textId="77777777" w:rsidR="00847868" w:rsidRDefault="000348D4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З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а таких темпів забезпечення фінансування реалізація </w:t>
      </w:r>
      <w:r w:rsidR="00E6526D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бюджетної 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програми 1511050 триватиме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більше десяти </w:t>
      </w:r>
      <w:r w:rsidR="00847868"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років.</w:t>
      </w:r>
    </w:p>
    <w:p w14:paraId="5AD8E5BC" w14:textId="77777777" w:rsidR="00847868" w:rsidRDefault="00847868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847868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Проте, захисники України вже сьогодні потребують жити повноцінно і якісно і вирішення питання забезпечення житлом для них залишається найактуальнішим.</w:t>
      </w:r>
    </w:p>
    <w:p w14:paraId="4DF2376F" w14:textId="77777777" w:rsidR="000348D4" w:rsidRDefault="000348D4" w:rsidP="000348D4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7A421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Невиконання запланованих показників пов’язане не лише з недостатнім обсягом коштів, а і з недосконалістю механізму забезпечення права таких осіб на житло тощо.</w:t>
      </w:r>
    </w:p>
    <w:p w14:paraId="60458ADE" w14:textId="77777777" w:rsidR="00FA77F9" w:rsidRDefault="00FA77F9" w:rsidP="00847868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Розроблення проєкту </w:t>
      </w:r>
      <w:r w:rsidR="00FA219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акта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необхідного для реалізації у повній мірі </w:t>
      </w:r>
      <w:r w:rsidRPr="00FA77F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бюджетн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ої</w:t>
      </w:r>
      <w:r w:rsidRPr="00FA77F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програм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Pr="00FA77F9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1511050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bookmarkEnd w:id="5"/>
    <w:p w14:paraId="66ED55EA" w14:textId="77777777" w:rsidR="00BF4D5E" w:rsidRDefault="00BF4D5E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14:paraId="3A05E818" w14:textId="77777777" w:rsidR="00BF4D5E" w:rsidRDefault="009E2BCF" w:rsidP="001E7609">
      <w:pPr>
        <w:widowControl w:val="0"/>
        <w:shd w:val="clear" w:color="auto" w:fill="FFFFFF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BF4D5E" w:rsidRPr="00BF4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положення про</w:t>
      </w:r>
      <w:r w:rsidR="006346F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="00BF4D5E" w:rsidRPr="00BF4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 акта</w:t>
      </w:r>
    </w:p>
    <w:p w14:paraId="0FA5C4C0" w14:textId="77777777" w:rsidR="008856E2" w:rsidRDefault="0088510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6579C008" w14:textId="77777777" w:rsidR="00885106" w:rsidRDefault="009E2BC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EB48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="00C068B9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DD10D6">
        <w:rPr>
          <w:rFonts w:ascii="Times New Roman" w:hAnsi="Times New Roman" w:cs="Times New Roman"/>
          <w:sz w:val="28"/>
          <w:szCs w:val="28"/>
        </w:rPr>
        <w:t>пропонується</w:t>
      </w:r>
      <w:r w:rsidR="00885106">
        <w:rPr>
          <w:rFonts w:ascii="Times New Roman" w:hAnsi="Times New Roman" w:cs="Times New Roman"/>
          <w:sz w:val="28"/>
          <w:szCs w:val="28"/>
        </w:rPr>
        <w:t>:</w:t>
      </w:r>
    </w:p>
    <w:p w14:paraId="0AC8DB49" w14:textId="77777777" w:rsidR="00885106" w:rsidRDefault="0088510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8D4">
        <w:rPr>
          <w:rFonts w:ascii="Times New Roman" w:hAnsi="Times New Roman" w:cs="Times New Roman"/>
          <w:sz w:val="28"/>
          <w:szCs w:val="28"/>
        </w:rPr>
        <w:t xml:space="preserve"> передбачити право на </w:t>
      </w:r>
      <w:r w:rsidR="000348D4" w:rsidRPr="000348D4">
        <w:rPr>
          <w:rFonts w:ascii="Times New Roman" w:hAnsi="Times New Roman" w:cs="Times New Roman"/>
          <w:sz w:val="28"/>
          <w:szCs w:val="28"/>
        </w:rPr>
        <w:t xml:space="preserve">отримання грошової компенсації </w:t>
      </w:r>
      <w:r w:rsidR="000348D4">
        <w:rPr>
          <w:rFonts w:ascii="Times New Roman" w:hAnsi="Times New Roman" w:cs="Times New Roman"/>
          <w:sz w:val="28"/>
          <w:szCs w:val="28"/>
        </w:rPr>
        <w:t>внутрішньо переміщеним</w:t>
      </w:r>
      <w:r w:rsidR="000348D4" w:rsidRPr="000348D4">
        <w:rPr>
          <w:rFonts w:ascii="Times New Roman" w:hAnsi="Times New Roman" w:cs="Times New Roman"/>
          <w:sz w:val="28"/>
          <w:szCs w:val="28"/>
        </w:rPr>
        <w:t xml:space="preserve"> особ</w:t>
      </w:r>
      <w:r w:rsidR="000348D4">
        <w:rPr>
          <w:rFonts w:ascii="Times New Roman" w:hAnsi="Times New Roman" w:cs="Times New Roman"/>
          <w:sz w:val="28"/>
          <w:szCs w:val="28"/>
        </w:rPr>
        <w:t>ам</w:t>
      </w:r>
      <w:r w:rsidR="000348D4" w:rsidRPr="000348D4">
        <w:rPr>
          <w:rFonts w:ascii="Times New Roman" w:hAnsi="Times New Roman" w:cs="Times New Roman"/>
          <w:sz w:val="28"/>
          <w:szCs w:val="28"/>
        </w:rPr>
        <w:t xml:space="preserve">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</w:t>
      </w:r>
      <w:r>
        <w:rPr>
          <w:rFonts w:ascii="Times New Roman" w:hAnsi="Times New Roman" w:cs="Times New Roman"/>
          <w:sz w:val="28"/>
          <w:szCs w:val="28"/>
        </w:rPr>
        <w:t xml:space="preserve">та/або </w:t>
      </w:r>
      <w:r w:rsidR="000348D4" w:rsidRPr="000348D4">
        <w:rPr>
          <w:rFonts w:ascii="Times New Roman" w:hAnsi="Times New Roman" w:cs="Times New Roman"/>
          <w:sz w:val="28"/>
          <w:szCs w:val="28"/>
        </w:rPr>
        <w:t xml:space="preserve">у здійсненні </w:t>
      </w:r>
      <w:r w:rsidR="00FA2197">
        <w:rPr>
          <w:rFonts w:ascii="Times New Roman" w:hAnsi="Times New Roman" w:cs="Times New Roman"/>
          <w:sz w:val="28"/>
          <w:szCs w:val="28"/>
        </w:rPr>
        <w:br/>
      </w:r>
      <w:r w:rsidR="000348D4" w:rsidRPr="000348D4">
        <w:rPr>
          <w:rFonts w:ascii="Times New Roman" w:hAnsi="Times New Roman" w:cs="Times New Roman"/>
          <w:sz w:val="28"/>
          <w:szCs w:val="28"/>
        </w:rPr>
        <w:t>до 1 червня 2018 р.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</w:t>
      </w:r>
      <w:r w:rsidRPr="00885106">
        <w:t xml:space="preserve"> </w:t>
      </w:r>
      <w:r w:rsidRPr="00885106">
        <w:rPr>
          <w:rFonts w:ascii="Times New Roman" w:hAnsi="Times New Roman" w:cs="Times New Roman"/>
          <w:sz w:val="28"/>
          <w:szCs w:val="28"/>
        </w:rPr>
        <w:t>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 і 20 частини першої статті 6 Закону України “Про статус ветеранів війни, гарантії їх соціального захисту”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9133F8" w14:textId="77777777" w:rsidR="00885106" w:rsidRDefault="0088510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встановити термін протягом якого одержувач грошової компенсації повинен використати грошову компенсації і придбати житло </w:t>
      </w:r>
      <w:proofErr w:type="spellStart"/>
      <w:r w:rsidR="0075541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755413">
        <w:rPr>
          <w:rFonts w:ascii="Times New Roman" w:hAnsi="Times New Roman" w:cs="Times New Roman"/>
          <w:sz w:val="28"/>
          <w:szCs w:val="28"/>
          <w:lang w:val="ru-RU"/>
        </w:rPr>
        <w:t xml:space="preserve"> шести</w:t>
      </w:r>
      <w:r>
        <w:rPr>
          <w:rFonts w:ascii="Times New Roman" w:hAnsi="Times New Roman" w:cs="Times New Roman"/>
          <w:sz w:val="28"/>
          <w:szCs w:val="28"/>
        </w:rPr>
        <w:t xml:space="preserve"> місяців замість одного року;</w:t>
      </w:r>
    </w:p>
    <w:p w14:paraId="1B8390A1" w14:textId="77777777" w:rsidR="000348D4" w:rsidRDefault="00885106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5106">
        <w:rPr>
          <w:rFonts w:ascii="Times New Roman" w:hAnsi="Times New Roman" w:cs="Times New Roman"/>
          <w:sz w:val="28"/>
          <w:szCs w:val="28"/>
        </w:rPr>
        <w:t>врегулювати проблемні питання</w:t>
      </w:r>
      <w:r>
        <w:rPr>
          <w:rFonts w:ascii="Times New Roman" w:hAnsi="Times New Roman" w:cs="Times New Roman"/>
          <w:sz w:val="28"/>
          <w:szCs w:val="28"/>
        </w:rPr>
        <w:t>, які виникають під час</w:t>
      </w:r>
      <w:r w:rsidRPr="00885106">
        <w:rPr>
          <w:rFonts w:ascii="Times New Roman" w:hAnsi="Times New Roman" w:cs="Times New Roman"/>
          <w:sz w:val="28"/>
          <w:szCs w:val="28"/>
        </w:rPr>
        <w:t xml:space="preserve"> реалізації бюджетної програми</w:t>
      </w:r>
      <w:r>
        <w:rPr>
          <w:rFonts w:ascii="Times New Roman" w:hAnsi="Times New Roman" w:cs="Times New Roman"/>
          <w:sz w:val="28"/>
          <w:szCs w:val="28"/>
        </w:rPr>
        <w:t xml:space="preserve"> 1511050 (обстеження</w:t>
      </w:r>
      <w:r w:rsidRPr="00885106">
        <w:rPr>
          <w:rFonts w:ascii="Times New Roman" w:hAnsi="Times New Roman" w:cs="Times New Roman"/>
          <w:sz w:val="28"/>
          <w:szCs w:val="28"/>
        </w:rPr>
        <w:t xml:space="preserve"> матеріально-побутов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5106">
        <w:rPr>
          <w:rFonts w:ascii="Times New Roman" w:hAnsi="Times New Roman" w:cs="Times New Roman"/>
          <w:sz w:val="28"/>
          <w:szCs w:val="28"/>
        </w:rPr>
        <w:t xml:space="preserve"> умов внутрішньо переміщеної особи за місцем перебування на квартирному обліку</w:t>
      </w:r>
      <w:r>
        <w:rPr>
          <w:rFonts w:ascii="Times New Roman" w:hAnsi="Times New Roman" w:cs="Times New Roman"/>
          <w:sz w:val="28"/>
          <w:szCs w:val="28"/>
        </w:rPr>
        <w:t xml:space="preserve"> чи фактичним місцем проживання, надання відомостей про </w:t>
      </w:r>
      <w:r w:rsidRPr="00885106">
        <w:rPr>
          <w:rFonts w:ascii="Times New Roman" w:hAnsi="Times New Roman" w:cs="Times New Roman"/>
          <w:sz w:val="28"/>
          <w:szCs w:val="28"/>
        </w:rPr>
        <w:t>наявн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885106">
        <w:rPr>
          <w:rFonts w:ascii="Times New Roman" w:hAnsi="Times New Roman" w:cs="Times New Roman"/>
          <w:sz w:val="28"/>
          <w:szCs w:val="28"/>
        </w:rPr>
        <w:t>/відсутн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8510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5106">
        <w:rPr>
          <w:rFonts w:ascii="Times New Roman" w:hAnsi="Times New Roman" w:cs="Times New Roman"/>
          <w:sz w:val="28"/>
          <w:szCs w:val="28"/>
        </w:rPr>
        <w:t xml:space="preserve"> зареєстрованого до 31 грудня 2012 р. права власності на житло</w:t>
      </w:r>
      <w:r>
        <w:rPr>
          <w:rFonts w:ascii="Times New Roman" w:hAnsi="Times New Roman" w:cs="Times New Roman"/>
          <w:sz w:val="28"/>
          <w:szCs w:val="28"/>
        </w:rPr>
        <w:t xml:space="preserve"> та інше).</w:t>
      </w:r>
    </w:p>
    <w:p w14:paraId="21503AAB" w14:textId="77777777" w:rsidR="00885106" w:rsidRDefault="00885106" w:rsidP="00885106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78538" w14:textId="77777777" w:rsidR="00173F0F" w:rsidRDefault="009E2BCF" w:rsidP="00885106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</w:t>
      </w:r>
      <w:r w:rsidR="00173F0F" w:rsidRPr="00173F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Правові аспекти</w:t>
      </w:r>
    </w:p>
    <w:p w14:paraId="55EE79AD" w14:textId="77777777" w:rsidR="00173F0F" w:rsidRDefault="00173F0F" w:rsidP="001E760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8BED4DD" w14:textId="77777777" w:rsidR="00C068B9" w:rsidRDefault="00173F0F" w:rsidP="00C068B9">
      <w:pPr>
        <w:widowControl w:val="0"/>
        <w:spacing w:after="0" w:line="240" w:lineRule="auto"/>
        <w:ind w:left="142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сфери правового регулювання </w:t>
      </w:r>
      <w:proofErr w:type="spellStart"/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є</w:t>
      </w: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кта</w:t>
      </w:r>
      <w:proofErr w:type="spellEnd"/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C06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постанови</w:t>
      </w:r>
      <w:r w:rsidR="00721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173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належать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E7609" w:rsidRP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Житловий кодекс </w:t>
      </w:r>
      <w:r w:rsid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Української РСР</w:t>
      </w:r>
      <w:r w:rsidR="001E7609" w:rsidRP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Бюджетний кодекс України,</w:t>
      </w:r>
      <w:r w:rsidR="001E7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постанова </w:t>
      </w:r>
      <w:r w:rsidR="00C068B9" w:rsidRPr="00C06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Кабінету Міністрів України від 18 квітня 2018 року № 280</w:t>
      </w:r>
      <w:r w:rsidR="00C06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0BF8F529" w14:textId="77777777" w:rsidR="009E2BCF" w:rsidRDefault="00C068B9" w:rsidP="00C068B9">
      <w:pPr>
        <w:widowControl w:val="0"/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14:paraId="68E1D552" w14:textId="77777777" w:rsidR="00467796" w:rsidRDefault="009E2BC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3F0F" w:rsidRPr="00173F0F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3AC1AA2B" w14:textId="77777777" w:rsidR="00173F0F" w:rsidRDefault="00173F0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A055E" w14:textId="77777777" w:rsidR="00313D64" w:rsidRPr="00313D64" w:rsidRDefault="00173F0F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D64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r w:rsidR="00721CEC">
        <w:rPr>
          <w:rFonts w:ascii="Times New Roman" w:hAnsi="Times New Roman" w:cs="Times New Roman"/>
          <w:bCs/>
          <w:sz w:val="28"/>
          <w:szCs w:val="28"/>
        </w:rPr>
        <w:t xml:space="preserve">акта </w:t>
      </w:r>
      <w:r w:rsidRPr="00313D64">
        <w:rPr>
          <w:rFonts w:ascii="Times New Roman" w:hAnsi="Times New Roman" w:cs="Times New Roman"/>
          <w:bCs/>
          <w:sz w:val="28"/>
          <w:szCs w:val="28"/>
        </w:rPr>
        <w:t>не потребу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>є</w:t>
      </w:r>
      <w:r w:rsidRPr="0031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>додаткового</w:t>
      </w:r>
      <w:r w:rsidRPr="00313D64">
        <w:rPr>
          <w:rFonts w:ascii="Times New Roman" w:hAnsi="Times New Roman" w:cs="Times New Roman"/>
          <w:bCs/>
          <w:sz w:val="28"/>
          <w:szCs w:val="28"/>
        </w:rPr>
        <w:t xml:space="preserve"> фінансування з 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 xml:space="preserve">державного та місцевих </w:t>
      </w:r>
      <w:r w:rsidRPr="00313D64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13D64" w:rsidRPr="00313D64">
        <w:rPr>
          <w:rFonts w:ascii="Times New Roman" w:hAnsi="Times New Roman" w:cs="Times New Roman"/>
          <w:bCs/>
          <w:sz w:val="28"/>
          <w:szCs w:val="28"/>
        </w:rPr>
        <w:t>ів.</w:t>
      </w:r>
    </w:p>
    <w:p w14:paraId="3F9CC782" w14:textId="77777777" w:rsidR="00666C9A" w:rsidRDefault="00666C9A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E9054" w14:textId="77777777" w:rsidR="00313D64" w:rsidRDefault="00313D64" w:rsidP="001E760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13D64">
        <w:rPr>
          <w:rFonts w:ascii="Times New Roman" w:hAnsi="Times New Roman" w:cs="Times New Roman"/>
          <w:b/>
          <w:sz w:val="28"/>
          <w:szCs w:val="28"/>
        </w:rPr>
        <w:t>Позиція заінтересованих сторін</w:t>
      </w:r>
    </w:p>
    <w:p w14:paraId="6A13D901" w14:textId="77777777" w:rsidR="00FA77F9" w:rsidRPr="00FA77F9" w:rsidRDefault="00FA77F9" w:rsidP="00FA77F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8EA2F" w14:textId="77777777" w:rsidR="009E2BCF" w:rsidRDefault="009E2BCF" w:rsidP="00FA77F9">
      <w:pPr>
        <w:widowControl w:val="0"/>
        <w:tabs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EB48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721CEC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="00313D64" w:rsidRPr="00313D64">
        <w:rPr>
          <w:rFonts w:ascii="Times New Roman" w:hAnsi="Times New Roman" w:cs="Times New Roman"/>
          <w:sz w:val="28"/>
          <w:szCs w:val="28"/>
        </w:rPr>
        <w:t>функціонування і застосування української мови як державної,</w:t>
      </w:r>
      <w:r w:rsidR="0031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</w:t>
      </w:r>
      <w:r w:rsidR="004D70A8" w:rsidRPr="004D70A8">
        <w:rPr>
          <w:rFonts w:ascii="Times New Roman" w:hAnsi="Times New Roman" w:cs="Times New Roman"/>
          <w:sz w:val="28"/>
          <w:szCs w:val="28"/>
        </w:rPr>
        <w:t>Уповноваженого із захисту державної мови</w:t>
      </w:r>
      <w:r w:rsidR="004D70A8">
        <w:rPr>
          <w:rFonts w:ascii="Times New Roman" w:hAnsi="Times New Roman" w:cs="Times New Roman"/>
          <w:sz w:val="28"/>
          <w:szCs w:val="28"/>
        </w:rPr>
        <w:t>.</w:t>
      </w:r>
    </w:p>
    <w:p w14:paraId="37BCD95A" w14:textId="77777777" w:rsidR="009E2BCF" w:rsidRDefault="009E2BCF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EB484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721CEC">
        <w:rPr>
          <w:rFonts w:ascii="Times New Roman" w:hAnsi="Times New Roman" w:cs="Times New Roman"/>
          <w:sz w:val="28"/>
          <w:szCs w:val="28"/>
        </w:rPr>
        <w:t>акта</w:t>
      </w:r>
      <w:r w:rsidR="004D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стосується наукової та науково-технічної діяльності.</w:t>
      </w:r>
    </w:p>
    <w:p w14:paraId="62EB2816" w14:textId="77777777" w:rsidR="004D70A8" w:rsidRDefault="004D70A8" w:rsidP="001E7609">
      <w:pPr>
        <w:spacing w:after="0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0A8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721CEC">
        <w:rPr>
          <w:rFonts w:ascii="Times New Roman" w:hAnsi="Times New Roman" w:cs="Times New Roman"/>
          <w:sz w:val="28"/>
          <w:szCs w:val="28"/>
        </w:rPr>
        <w:t>акта</w:t>
      </w:r>
      <w:r w:rsidRPr="004D70A8">
        <w:rPr>
          <w:rFonts w:ascii="Times New Roman" w:hAnsi="Times New Roman" w:cs="Times New Roman"/>
          <w:sz w:val="28"/>
          <w:szCs w:val="28"/>
        </w:rPr>
        <w:t xml:space="preserve"> потребує погодження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D70A8">
        <w:rPr>
          <w:rFonts w:ascii="Times New Roman" w:hAnsi="Times New Roman" w:cs="Times New Roman"/>
          <w:sz w:val="28"/>
          <w:szCs w:val="28"/>
        </w:rPr>
        <w:t xml:space="preserve">Міністерством соціальної політики </w:t>
      </w:r>
      <w:r w:rsidR="00883A53">
        <w:rPr>
          <w:rFonts w:ascii="Times New Roman" w:hAnsi="Times New Roman" w:cs="Times New Roman"/>
          <w:sz w:val="28"/>
          <w:szCs w:val="28"/>
        </w:rPr>
        <w:t>У</w:t>
      </w:r>
      <w:r w:rsidRPr="004D70A8">
        <w:rPr>
          <w:rFonts w:ascii="Times New Roman" w:hAnsi="Times New Roman" w:cs="Times New Roman"/>
          <w:sz w:val="28"/>
          <w:szCs w:val="28"/>
        </w:rPr>
        <w:t xml:space="preserve">країни, Міністерством фінансів України, </w:t>
      </w:r>
      <w:r w:rsidR="00883A53">
        <w:rPr>
          <w:rFonts w:ascii="Times New Roman" w:hAnsi="Times New Roman" w:cs="Times New Roman"/>
          <w:sz w:val="28"/>
          <w:szCs w:val="28"/>
        </w:rPr>
        <w:t>Міністерством економіки У</w:t>
      </w:r>
      <w:r w:rsidRPr="004D70A8">
        <w:rPr>
          <w:rFonts w:ascii="Times New Roman" w:hAnsi="Times New Roman" w:cs="Times New Roman"/>
          <w:sz w:val="28"/>
          <w:szCs w:val="28"/>
        </w:rPr>
        <w:t>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5413" w:rsidRPr="00755413">
        <w:rPr>
          <w:rFonts w:ascii="Times New Roman" w:hAnsi="Times New Roman" w:cs="Times New Roman"/>
          <w:sz w:val="28"/>
          <w:szCs w:val="28"/>
        </w:rPr>
        <w:t xml:space="preserve"> </w:t>
      </w:r>
      <w:r w:rsidR="00755413" w:rsidRPr="004D70A8">
        <w:rPr>
          <w:rFonts w:ascii="Times New Roman" w:hAnsi="Times New Roman" w:cs="Times New Roman"/>
          <w:sz w:val="28"/>
          <w:szCs w:val="28"/>
        </w:rPr>
        <w:t>Міністерством розвитку громад та територій України</w:t>
      </w:r>
      <w:r w:rsidR="00755413" w:rsidRPr="00755413">
        <w:rPr>
          <w:rFonts w:ascii="Times New Roman" w:hAnsi="Times New Roman" w:cs="Times New Roman"/>
          <w:sz w:val="28"/>
          <w:szCs w:val="28"/>
        </w:rPr>
        <w:t>, М</w:t>
      </w:r>
      <w:r w:rsidR="00755413">
        <w:rPr>
          <w:rFonts w:ascii="Times New Roman" w:hAnsi="Times New Roman" w:cs="Times New Roman"/>
          <w:sz w:val="28"/>
          <w:szCs w:val="28"/>
        </w:rPr>
        <w:t>іністерством з питань реінтеграції тимчасово окупованих територій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A8">
        <w:rPr>
          <w:rFonts w:ascii="Times New Roman" w:hAnsi="Times New Roman" w:cs="Times New Roman"/>
          <w:sz w:val="28"/>
          <w:szCs w:val="28"/>
        </w:rPr>
        <w:t>Урядов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з прав осіб з інвалідністю та всеукраїнськи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громадськи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осіб з інвалідністю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6DBE63" w14:textId="77777777" w:rsidR="004C0023" w:rsidRPr="004D70A8" w:rsidRDefault="004C0023" w:rsidP="001E7609">
      <w:pPr>
        <w:spacing w:after="0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721CEC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потребує проведення </w:t>
      </w:r>
      <w:r w:rsidR="00F81576">
        <w:rPr>
          <w:rFonts w:ascii="Times New Roman" w:hAnsi="Times New Roman" w:cs="Times New Roman"/>
          <w:sz w:val="28"/>
          <w:szCs w:val="28"/>
        </w:rPr>
        <w:t>цифрової експертизи Міністерством цифрової трансформації України</w:t>
      </w:r>
      <w:r w:rsidR="001E7609">
        <w:rPr>
          <w:rFonts w:ascii="Times New Roman" w:hAnsi="Times New Roman" w:cs="Times New Roman"/>
          <w:sz w:val="28"/>
          <w:szCs w:val="28"/>
        </w:rPr>
        <w:t>,</w:t>
      </w:r>
      <w:r w:rsidR="00F8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правової експертизи Міністерством юстиції України</w:t>
      </w:r>
      <w:r w:rsidR="001E7609">
        <w:rPr>
          <w:rFonts w:ascii="Times New Roman" w:hAnsi="Times New Roman" w:cs="Times New Roman"/>
          <w:sz w:val="28"/>
          <w:szCs w:val="28"/>
        </w:rPr>
        <w:t xml:space="preserve">, </w:t>
      </w:r>
      <w:r w:rsidR="001E7609" w:rsidRPr="001E7609">
        <w:rPr>
          <w:rFonts w:ascii="Times New Roman" w:hAnsi="Times New Roman" w:cs="Times New Roman"/>
          <w:sz w:val="28"/>
          <w:szCs w:val="28"/>
        </w:rPr>
        <w:t>та визначення необхідності проведення антикорупційної експертизи Національним агентством з питань запобігання корупції.</w:t>
      </w:r>
    </w:p>
    <w:p w14:paraId="772DD977" w14:textId="77777777" w:rsidR="009E2BCF" w:rsidRPr="00EB484A" w:rsidRDefault="00EB484A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метою проведення громадського обговорення проєкт </w:t>
      </w:r>
      <w:r w:rsidR="00721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акта </w:t>
      </w:r>
      <w:r w:rsidR="004C0023">
        <w:rPr>
          <w:rFonts w:ascii="Times New Roman" w:hAnsi="Times New Roman" w:cs="Times New Roman"/>
          <w:bCs/>
          <w:sz w:val="28"/>
          <w:szCs w:val="28"/>
          <w:lang w:eastAsia="ru-RU"/>
        </w:rPr>
        <w:t>буде</w:t>
      </w:r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розміщено на офіційному веб-сайті Мінветеранів.</w:t>
      </w:r>
    </w:p>
    <w:p w14:paraId="34FCB406" w14:textId="77777777" w:rsidR="00EB484A" w:rsidRDefault="00EB484A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32584" w14:textId="77777777" w:rsidR="00B7596E" w:rsidRDefault="00B7596E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322E6" w14:textId="77777777" w:rsidR="004C0023" w:rsidRPr="004C0023" w:rsidRDefault="009E2BCF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4C0023" w:rsidRPr="004C0023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062ECB9E" w14:textId="77777777" w:rsidR="00883A53" w:rsidRDefault="004C002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0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r w:rsidR="00883A53">
        <w:rPr>
          <w:rFonts w:ascii="Times New Roman" w:hAnsi="Times New Roman" w:cs="Times New Roman"/>
          <w:sz w:val="28"/>
          <w:szCs w:val="28"/>
        </w:rPr>
        <w:t>постанови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23">
        <w:rPr>
          <w:rFonts w:ascii="Times New Roman" w:hAnsi="Times New Roman" w:cs="Times New Roman"/>
          <w:sz w:val="28"/>
          <w:szCs w:val="28"/>
        </w:rPr>
        <w:t>відсутні положення, що</w:t>
      </w:r>
      <w:r w:rsidR="00883A53">
        <w:rPr>
          <w:rFonts w:ascii="Times New Roman" w:hAnsi="Times New Roman" w:cs="Times New Roman"/>
          <w:sz w:val="28"/>
          <w:szCs w:val="28"/>
        </w:rPr>
        <w:t>:</w:t>
      </w:r>
    </w:p>
    <w:p w14:paraId="4C461BD4" w14:textId="77777777" w:rsidR="00883A53" w:rsidRDefault="00883A5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023" w:rsidRPr="004C0023">
        <w:rPr>
          <w:rFonts w:ascii="Times New Roman" w:hAnsi="Times New Roman" w:cs="Times New Roman"/>
          <w:sz w:val="28"/>
          <w:szCs w:val="28"/>
        </w:rPr>
        <w:t xml:space="preserve"> стосуються зобов’язань України у сфері європейської інтеграції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A66D08" w14:textId="77777777" w:rsidR="00883A53" w:rsidRDefault="00883A5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стосуються </w:t>
      </w:r>
      <w:r w:rsidR="004C0023" w:rsidRPr="004C0023">
        <w:rPr>
          <w:rFonts w:ascii="Times New Roman" w:hAnsi="Times New Roman" w:cs="Times New Roman"/>
          <w:sz w:val="28"/>
          <w:szCs w:val="28"/>
        </w:rPr>
        <w:t xml:space="preserve">прав та свобод, гарантованих Конвенцією про захист прав </w:t>
      </w:r>
      <w:r>
        <w:rPr>
          <w:rFonts w:ascii="Times New Roman" w:hAnsi="Times New Roman" w:cs="Times New Roman"/>
          <w:sz w:val="28"/>
          <w:szCs w:val="28"/>
        </w:rPr>
        <w:t>людини і основоположних свобод;</w:t>
      </w:r>
    </w:p>
    <w:p w14:paraId="63B19DA7" w14:textId="77777777" w:rsidR="00883A53" w:rsidRDefault="00883A5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впливають</w:t>
      </w:r>
      <w:r w:rsidR="004C0023" w:rsidRPr="004C0023">
        <w:rPr>
          <w:rFonts w:ascii="Times New Roman" w:hAnsi="Times New Roman" w:cs="Times New Roman"/>
          <w:sz w:val="28"/>
          <w:szCs w:val="28"/>
        </w:rPr>
        <w:t xml:space="preserve"> на забезпечення рівних прав т</w:t>
      </w:r>
      <w:r>
        <w:rPr>
          <w:rFonts w:ascii="Times New Roman" w:hAnsi="Times New Roman" w:cs="Times New Roman"/>
          <w:sz w:val="28"/>
          <w:szCs w:val="28"/>
        </w:rPr>
        <w:t>а можливостей жінок і чоловіків;</w:t>
      </w:r>
    </w:p>
    <w:p w14:paraId="2FF9F007" w14:textId="77777777" w:rsidR="00883A53" w:rsidRPr="00883A53" w:rsidRDefault="00883A5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023" w:rsidRPr="004C0023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0023" w:rsidRPr="004C0023">
        <w:rPr>
          <w:rFonts w:ascii="Times New Roman" w:hAnsi="Times New Roman" w:cs="Times New Roman"/>
          <w:sz w:val="28"/>
          <w:szCs w:val="28"/>
        </w:rPr>
        <w:t xml:space="preserve">ть </w:t>
      </w:r>
      <w:r w:rsidR="004C0023" w:rsidRPr="00883A53">
        <w:rPr>
          <w:rFonts w:ascii="Times New Roman" w:hAnsi="Times New Roman" w:cs="Times New Roman"/>
          <w:sz w:val="28"/>
          <w:szCs w:val="28"/>
        </w:rPr>
        <w:t>ризики вчинення корупційних правопорушень та правоп</w:t>
      </w:r>
      <w:r w:rsidRPr="00883A53">
        <w:rPr>
          <w:rFonts w:ascii="Times New Roman" w:hAnsi="Times New Roman" w:cs="Times New Roman"/>
          <w:sz w:val="28"/>
          <w:szCs w:val="28"/>
        </w:rPr>
        <w:t>орушень, пов’язаних з корупцією;</w:t>
      </w:r>
    </w:p>
    <w:p w14:paraId="227A06A6" w14:textId="77777777" w:rsidR="004C0023" w:rsidRDefault="00883A53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A53">
        <w:rPr>
          <w:rFonts w:ascii="Times New Roman" w:hAnsi="Times New Roman" w:cs="Times New Roman"/>
          <w:sz w:val="28"/>
          <w:szCs w:val="28"/>
        </w:rPr>
        <w:t>- створюють</w:t>
      </w:r>
      <w:r w:rsidR="004C0023" w:rsidRPr="00883A53">
        <w:rPr>
          <w:rFonts w:ascii="Times New Roman" w:hAnsi="Times New Roman" w:cs="Times New Roman"/>
          <w:sz w:val="28"/>
          <w:szCs w:val="28"/>
        </w:rPr>
        <w:t xml:space="preserve"> підстави для дискримінації.</w:t>
      </w:r>
    </w:p>
    <w:p w14:paraId="3E5DDA6F" w14:textId="77777777" w:rsidR="00F615BB" w:rsidRPr="00883A53" w:rsidRDefault="00F615BB" w:rsidP="001E7609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346F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 постанови відповідає Конвенції</w:t>
      </w:r>
      <w:r w:rsidRPr="00F615BB">
        <w:rPr>
          <w:rFonts w:ascii="Times New Roman" w:hAnsi="Times New Roman" w:cs="Times New Roman"/>
          <w:sz w:val="28"/>
          <w:szCs w:val="28"/>
        </w:rPr>
        <w:t xml:space="preserve"> про захист прав</w:t>
      </w:r>
      <w:r>
        <w:rPr>
          <w:rFonts w:ascii="Times New Roman" w:hAnsi="Times New Roman" w:cs="Times New Roman"/>
          <w:sz w:val="28"/>
          <w:szCs w:val="28"/>
        </w:rPr>
        <w:t xml:space="preserve"> людини і основоположних свобод.</w:t>
      </w:r>
    </w:p>
    <w:p w14:paraId="31919CC8" w14:textId="77777777" w:rsidR="00883A53" w:rsidRPr="00FA2197" w:rsidRDefault="00FA2197" w:rsidP="001E7609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A2197">
        <w:rPr>
          <w:rFonts w:ascii="Times New Roman" w:hAnsi="Times New Roman" w:cs="Times New Roman"/>
          <w:bCs/>
          <w:sz w:val="28"/>
          <w:szCs w:val="28"/>
        </w:rPr>
        <w:t>ромадськ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2197">
        <w:rPr>
          <w:rFonts w:ascii="Times New Roman" w:hAnsi="Times New Roman" w:cs="Times New Roman"/>
          <w:bCs/>
          <w:sz w:val="28"/>
          <w:szCs w:val="28"/>
        </w:rPr>
        <w:t xml:space="preserve"> антикорупційн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2197">
        <w:rPr>
          <w:rFonts w:ascii="Times New Roman" w:hAnsi="Times New Roman" w:cs="Times New Roman"/>
          <w:bCs/>
          <w:sz w:val="28"/>
          <w:szCs w:val="28"/>
        </w:rPr>
        <w:t>, громадськ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21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197">
        <w:rPr>
          <w:rFonts w:ascii="Times New Roman" w:hAnsi="Times New Roman" w:cs="Times New Roman"/>
          <w:bCs/>
          <w:sz w:val="28"/>
          <w:szCs w:val="28"/>
        </w:rPr>
        <w:t>антидискримінаційн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FA2197">
        <w:rPr>
          <w:rFonts w:ascii="Times New Roman" w:hAnsi="Times New Roman" w:cs="Times New Roman"/>
          <w:bCs/>
          <w:sz w:val="28"/>
          <w:szCs w:val="28"/>
        </w:rPr>
        <w:t xml:space="preserve"> та громадськ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21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197">
        <w:rPr>
          <w:rFonts w:ascii="Times New Roman" w:hAnsi="Times New Roman" w:cs="Times New Roman"/>
          <w:bCs/>
          <w:sz w:val="28"/>
          <w:szCs w:val="28"/>
        </w:rPr>
        <w:t>гендерно</w:t>
      </w:r>
      <w:proofErr w:type="spellEnd"/>
      <w:r w:rsidRPr="00FA2197">
        <w:rPr>
          <w:rFonts w:ascii="Times New Roman" w:hAnsi="Times New Roman" w:cs="Times New Roman"/>
          <w:bCs/>
          <w:sz w:val="28"/>
          <w:szCs w:val="28"/>
        </w:rPr>
        <w:t>-правов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2197">
        <w:rPr>
          <w:rFonts w:ascii="Times New Roman" w:hAnsi="Times New Roman" w:cs="Times New Roman"/>
          <w:bCs/>
          <w:sz w:val="28"/>
          <w:szCs w:val="28"/>
        </w:rPr>
        <w:t xml:space="preserve"> експертизи 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FA2197">
        <w:rPr>
          <w:rFonts w:ascii="Times New Roman" w:hAnsi="Times New Roman" w:cs="Times New Roman"/>
          <w:bCs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bCs/>
          <w:sz w:val="28"/>
          <w:szCs w:val="28"/>
        </w:rPr>
        <w:t>одились</w:t>
      </w:r>
      <w:r w:rsidRPr="00FA21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3870EF" w14:textId="77777777" w:rsidR="00FA2197" w:rsidRDefault="00FA2197" w:rsidP="001E7609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15738" w14:textId="77777777" w:rsidR="009E2BCF" w:rsidRDefault="009E2BCF" w:rsidP="001E7609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C0023" w:rsidRPr="004C0023">
        <w:rPr>
          <w:rFonts w:ascii="Times New Roman" w:hAnsi="Times New Roman" w:cs="Times New Roman"/>
          <w:b/>
          <w:sz w:val="28"/>
          <w:szCs w:val="28"/>
        </w:rPr>
        <w:t>Прогноз результатів</w:t>
      </w:r>
    </w:p>
    <w:p w14:paraId="258BC361" w14:textId="77777777" w:rsidR="00467796" w:rsidRDefault="00467796" w:rsidP="001E7609">
      <w:pPr>
        <w:widowControl w:val="0"/>
        <w:tabs>
          <w:tab w:val="left" w:pos="1134"/>
        </w:tabs>
        <w:spacing w:after="0" w:line="240" w:lineRule="auto"/>
        <w:ind w:left="142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D33760" w14:textId="77777777" w:rsidR="004C0023" w:rsidRDefault="004C0023" w:rsidP="001E7609">
      <w:pPr>
        <w:ind w:left="142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="00EB3FFE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CEC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>надасть</w:t>
      </w:r>
      <w:proofErr w:type="spellEnd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 </w:t>
      </w:r>
      <w:r w:rsidR="008E1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осучаснити </w:t>
      </w: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його положення, </w:t>
      </w:r>
      <w:r w:rsid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</w:t>
      </w: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сприятиме удосконаленню державної політики у сфері</w:t>
      </w:r>
      <w:r w:rsidR="00EB3FFE" w:rsidRPr="00EB3FFE">
        <w:t xml:space="preserve"> </w:t>
      </w:r>
      <w:r w:rsidR="00EB3FFE" w:rsidRP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соціального захисту ветеранів та членів їх сімей </w:t>
      </w:r>
      <w:r w:rsidR="000A7A89" w:rsidRPr="000A7A89">
        <w:rPr>
          <w:rFonts w:ascii="Times New Roman" w:eastAsia="Calibri" w:hAnsi="Times New Roman" w:cs="Times New Roman"/>
          <w:sz w:val="28"/>
          <w:szCs w:val="28"/>
          <w:lang w:eastAsia="ru-RU"/>
        </w:rPr>
        <w:t>з дотриманням принципу соціальної справедливості, зокрема, щодо забезпечення їх житлом</w:t>
      </w:r>
      <w:r w:rsidR="00883A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7"/>
        <w:gridCol w:w="2546"/>
        <w:gridCol w:w="3546"/>
      </w:tblGrid>
      <w:tr w:rsidR="00883A53" w:rsidRPr="00755413" w14:paraId="70934F85" w14:textId="77777777" w:rsidTr="00755413">
        <w:tc>
          <w:tcPr>
            <w:tcW w:w="3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006798" w14:textId="77777777" w:rsidR="00883A53" w:rsidRPr="00755413" w:rsidRDefault="00883A53" w:rsidP="00755413">
            <w:pPr>
              <w:spacing w:after="0" w:line="240" w:lineRule="auto"/>
              <w:ind w:left="142" w:right="210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Заінтересована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сторона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306AA" w14:textId="77777777" w:rsidR="00883A53" w:rsidRPr="00755413" w:rsidRDefault="00883A53" w:rsidP="00755413">
            <w:pPr>
              <w:spacing w:after="0" w:line="240" w:lineRule="auto"/>
              <w:ind w:left="142" w:firstLine="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акта на 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заінтересовану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сторону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73766F" w14:textId="77777777" w:rsidR="00883A53" w:rsidRPr="00755413" w:rsidRDefault="00883A53" w:rsidP="00755413">
            <w:pPr>
              <w:spacing w:after="0" w:line="240" w:lineRule="auto"/>
              <w:ind w:left="142" w:right="270" w:hanging="1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Пояснення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очікуваного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впливу</w:t>
            </w:r>
            <w:proofErr w:type="spellEnd"/>
          </w:p>
        </w:tc>
      </w:tr>
      <w:tr w:rsidR="00883A53" w:rsidRPr="00755413" w14:paraId="6EF05ABD" w14:textId="77777777" w:rsidTr="00755413">
        <w:tc>
          <w:tcPr>
            <w:tcW w:w="3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EA14B" w14:textId="77777777" w:rsidR="00883A53" w:rsidRPr="00755413" w:rsidRDefault="00883A53" w:rsidP="00755413">
            <w:pPr>
              <w:spacing w:after="0" w:line="240" w:lineRule="auto"/>
              <w:ind w:left="142" w:right="210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Внутрішньо переміщені особи, які захищали незалежність, суверенітет та територіальну цілісність України і брали безпосередню участь в АТО/ООС, та визнані особами з інвалідністю внаслідок війни </w:t>
            </w:r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III</w:t>
            </w:r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групи або учасниками бойових дій.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9D60" w14:textId="77777777" w:rsidR="00883A53" w:rsidRPr="00755413" w:rsidRDefault="00883A53" w:rsidP="00755413">
            <w:pPr>
              <w:spacing w:after="0" w:line="240" w:lineRule="auto"/>
              <w:ind w:left="142" w:firstLine="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Позитивний</w:t>
            </w:r>
            <w:proofErr w:type="spellEnd"/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851A1" w14:textId="77777777" w:rsidR="00F615BB" w:rsidRPr="00755413" w:rsidRDefault="00F615BB" w:rsidP="00755413">
            <w:pPr>
              <w:spacing w:after="0" w:line="240" w:lineRule="auto"/>
              <w:ind w:left="81" w:right="270" w:firstLine="3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проєкту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постанови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дасть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виплату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належні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жилі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переміщени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особам,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захищали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незалежність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суверенітет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територіальну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цілісність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України, шляхом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найближчі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роки,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позитивно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вплине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забезпеченості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житлом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даної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7554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15D5E8EB" w14:textId="77777777" w:rsidR="009E2BCF" w:rsidRDefault="009E2BCF" w:rsidP="009E2BCF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553458" w14:textId="77777777" w:rsidR="00F615BB" w:rsidRDefault="00F615BB" w:rsidP="009E2BCF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1C5FDEB" w14:textId="77777777" w:rsidR="009E2BCF" w:rsidRDefault="009E2BCF" w:rsidP="001E7609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у справах ветеранів України           </w:t>
      </w:r>
      <w:r w:rsidR="00EB48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77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0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C0023">
        <w:rPr>
          <w:rFonts w:ascii="Times New Roman" w:hAnsi="Times New Roman" w:cs="Times New Roman"/>
          <w:b/>
          <w:sz w:val="28"/>
          <w:szCs w:val="28"/>
          <w:lang w:eastAsia="ru-RU"/>
        </w:rPr>
        <w:t>Юлія ЛАПУТІНА</w:t>
      </w:r>
    </w:p>
    <w:p w14:paraId="63AAF410" w14:textId="77777777" w:rsidR="009E2BCF" w:rsidRDefault="009E2BCF" w:rsidP="001E7609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06205E5" w14:textId="77777777" w:rsidR="009E2BCF" w:rsidRDefault="009E2BCF" w:rsidP="001E7609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88F43D" w14:textId="77777777" w:rsidR="00FA29DA" w:rsidRDefault="009E2BCF" w:rsidP="001E7609">
      <w:pPr>
        <w:widowControl w:val="0"/>
        <w:autoSpaceDE w:val="0"/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____ ___________ 20</w:t>
      </w:r>
      <w:r w:rsidR="00EB48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002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FA29DA" w:rsidSect="00B7596E">
      <w:headerReference w:type="default" r:id="rId6"/>
      <w:footerReference w:type="default" r:id="rId7"/>
      <w:pgSz w:w="11906" w:h="16838"/>
      <w:pgMar w:top="1135" w:right="850" w:bottom="1418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D5" w14:textId="77777777" w:rsidR="000848D7" w:rsidRDefault="000848D7" w:rsidP="00113E32">
      <w:pPr>
        <w:spacing w:after="0" w:line="240" w:lineRule="auto"/>
      </w:pPr>
      <w:r>
        <w:separator/>
      </w:r>
    </w:p>
  </w:endnote>
  <w:endnote w:type="continuationSeparator" w:id="0">
    <w:p w14:paraId="74105480" w14:textId="77777777" w:rsidR="000848D7" w:rsidRDefault="000848D7" w:rsidP="001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4916" w14:textId="77777777" w:rsidR="00313D64" w:rsidRDefault="00313D64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E95B" w14:textId="77777777" w:rsidR="000848D7" w:rsidRDefault="000848D7" w:rsidP="00113E32">
      <w:pPr>
        <w:spacing w:after="0" w:line="240" w:lineRule="auto"/>
      </w:pPr>
      <w:r>
        <w:separator/>
      </w:r>
    </w:p>
  </w:footnote>
  <w:footnote w:type="continuationSeparator" w:id="0">
    <w:p w14:paraId="18926113" w14:textId="77777777" w:rsidR="000848D7" w:rsidRDefault="000848D7" w:rsidP="001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50948468"/>
    </w:sdtPr>
    <w:sdtEndPr>
      <w:rPr>
        <w:sz w:val="28"/>
        <w:szCs w:val="28"/>
      </w:rPr>
    </w:sdtEndPr>
    <w:sdtContent>
      <w:p w14:paraId="2F72E2C4" w14:textId="77777777" w:rsidR="00113E32" w:rsidRPr="00B7596E" w:rsidRDefault="005C403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E32" w:rsidRPr="00B75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1A9" w:rsidRPr="004C11A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75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7250B8" w14:textId="77777777" w:rsidR="00113E32" w:rsidRDefault="00113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DYxNDS3NDQ0NTVT0lEKTi0uzszPAykwrAUAG+fTqSwAAAA="/>
  </w:docVars>
  <w:rsids>
    <w:rsidRoot w:val="009E2BCF"/>
    <w:rsid w:val="000134C5"/>
    <w:rsid w:val="000348D4"/>
    <w:rsid w:val="0008135B"/>
    <w:rsid w:val="000821B5"/>
    <w:rsid w:val="000848D7"/>
    <w:rsid w:val="000908B0"/>
    <w:rsid w:val="0009669A"/>
    <w:rsid w:val="000A7A89"/>
    <w:rsid w:val="000D7014"/>
    <w:rsid w:val="000E6237"/>
    <w:rsid w:val="00113E32"/>
    <w:rsid w:val="0011420B"/>
    <w:rsid w:val="00173F0F"/>
    <w:rsid w:val="001A137C"/>
    <w:rsid w:val="001E7609"/>
    <w:rsid w:val="001F3781"/>
    <w:rsid w:val="001F7895"/>
    <w:rsid w:val="00212E26"/>
    <w:rsid w:val="002213E5"/>
    <w:rsid w:val="00232D7E"/>
    <w:rsid w:val="002418CB"/>
    <w:rsid w:val="00261D80"/>
    <w:rsid w:val="002D1C13"/>
    <w:rsid w:val="003042D9"/>
    <w:rsid w:val="00313D64"/>
    <w:rsid w:val="003A547B"/>
    <w:rsid w:val="003F2B25"/>
    <w:rsid w:val="00452D01"/>
    <w:rsid w:val="00467796"/>
    <w:rsid w:val="004A54A7"/>
    <w:rsid w:val="004C0023"/>
    <w:rsid w:val="004C11A9"/>
    <w:rsid w:val="004D70A8"/>
    <w:rsid w:val="0054774E"/>
    <w:rsid w:val="00593BB7"/>
    <w:rsid w:val="005C4034"/>
    <w:rsid w:val="005E1BAC"/>
    <w:rsid w:val="006018C9"/>
    <w:rsid w:val="00607E53"/>
    <w:rsid w:val="006346F8"/>
    <w:rsid w:val="00666C9A"/>
    <w:rsid w:val="006D5675"/>
    <w:rsid w:val="00721CEC"/>
    <w:rsid w:val="00744476"/>
    <w:rsid w:val="00750859"/>
    <w:rsid w:val="00755413"/>
    <w:rsid w:val="00773D01"/>
    <w:rsid w:val="007A4219"/>
    <w:rsid w:val="007E5DEC"/>
    <w:rsid w:val="00840AC1"/>
    <w:rsid w:val="00847868"/>
    <w:rsid w:val="00883A53"/>
    <w:rsid w:val="00885106"/>
    <w:rsid w:val="008856E2"/>
    <w:rsid w:val="008E11C9"/>
    <w:rsid w:val="0095096C"/>
    <w:rsid w:val="009E277A"/>
    <w:rsid w:val="009E2BCF"/>
    <w:rsid w:val="00A82343"/>
    <w:rsid w:val="00A83710"/>
    <w:rsid w:val="00A920BC"/>
    <w:rsid w:val="00B10541"/>
    <w:rsid w:val="00B3129E"/>
    <w:rsid w:val="00B537D6"/>
    <w:rsid w:val="00B54147"/>
    <w:rsid w:val="00B7596E"/>
    <w:rsid w:val="00B96D95"/>
    <w:rsid w:val="00BB7244"/>
    <w:rsid w:val="00BD13F0"/>
    <w:rsid w:val="00BF4D5E"/>
    <w:rsid w:val="00BF7ADA"/>
    <w:rsid w:val="00C068B9"/>
    <w:rsid w:val="00C24B7A"/>
    <w:rsid w:val="00C622D6"/>
    <w:rsid w:val="00C91958"/>
    <w:rsid w:val="00CB618C"/>
    <w:rsid w:val="00CC2FE2"/>
    <w:rsid w:val="00D54182"/>
    <w:rsid w:val="00D869A1"/>
    <w:rsid w:val="00DA0F8E"/>
    <w:rsid w:val="00DA570B"/>
    <w:rsid w:val="00DD10D6"/>
    <w:rsid w:val="00DD6FC1"/>
    <w:rsid w:val="00E233B7"/>
    <w:rsid w:val="00E42EDD"/>
    <w:rsid w:val="00E6526D"/>
    <w:rsid w:val="00EB3FFE"/>
    <w:rsid w:val="00EB484A"/>
    <w:rsid w:val="00ED0113"/>
    <w:rsid w:val="00ED70A0"/>
    <w:rsid w:val="00EF2041"/>
    <w:rsid w:val="00EF25E4"/>
    <w:rsid w:val="00F615BB"/>
    <w:rsid w:val="00F81576"/>
    <w:rsid w:val="00F87E1E"/>
    <w:rsid w:val="00FA2197"/>
    <w:rsid w:val="00FA29DA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F9C2"/>
  <w15:docId w15:val="{43254F23-49FD-432C-8B48-10319004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E32"/>
  </w:style>
  <w:style w:type="paragraph" w:styleId="a6">
    <w:name w:val="footer"/>
    <w:basedOn w:val="a"/>
    <w:link w:val="a7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E32"/>
  </w:style>
  <w:style w:type="paragraph" w:styleId="a8">
    <w:name w:val="Balloon Text"/>
    <w:basedOn w:val="a"/>
    <w:link w:val="a9"/>
    <w:uiPriority w:val="99"/>
    <w:semiHidden/>
    <w:unhideWhenUsed/>
    <w:rsid w:val="001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5839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Степіна Ірина Григорівна</dc:creator>
  <cp:lastModifiedBy>User-3</cp:lastModifiedBy>
  <cp:revision>2</cp:revision>
  <cp:lastPrinted>2020-03-13T13:55:00Z</cp:lastPrinted>
  <dcterms:created xsi:type="dcterms:W3CDTF">2021-10-29T08:43:00Z</dcterms:created>
  <dcterms:modified xsi:type="dcterms:W3CDTF">2021-10-29T08:43:00Z</dcterms:modified>
</cp:coreProperties>
</file>