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50E7" w14:textId="77777777" w:rsidR="00827C9C" w:rsidRPr="00D85CF0" w:rsidRDefault="00000000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color w:val="auto"/>
          <w:sz w:val="28"/>
          <w:lang w:val="uk-UA" w:eastAsia="uk-UA"/>
        </w:rPr>
      </w:pPr>
      <w:r w:rsidRPr="00D85CF0">
        <w:rPr>
          <w:rFonts w:ascii="Times New Roman" w:hAnsi="Times New Roman"/>
          <w:b/>
          <w:caps/>
          <w:color w:val="auto"/>
          <w:sz w:val="28"/>
          <w:lang w:val="uk-UA" w:eastAsia="uk-UA"/>
        </w:rPr>
        <w:t>Порівняльна таблиця</w:t>
      </w:r>
    </w:p>
    <w:p w14:paraId="76516BCE" w14:textId="6939B493" w:rsidR="00827C9C" w:rsidRPr="00D85CF0" w:rsidRDefault="00000000" w:rsidP="00D85CF0">
      <w:pPr>
        <w:jc w:val="center"/>
        <w:rPr>
          <w:rFonts w:ascii="Times New Roman" w:hAnsi="Times New Roman"/>
          <w:b/>
          <w:color w:val="auto"/>
          <w:sz w:val="28"/>
          <w:lang w:val="uk-UA"/>
        </w:rPr>
      </w:pPr>
      <w:r w:rsidRPr="00D85CF0">
        <w:rPr>
          <w:rFonts w:ascii="Times New Roman" w:hAnsi="Times New Roman"/>
          <w:b/>
          <w:color w:val="auto"/>
          <w:sz w:val="28"/>
          <w:lang w:val="uk-UA" w:eastAsia="uk-UA"/>
        </w:rPr>
        <w:t>до проекту Закону України</w:t>
      </w:r>
      <w:r w:rsidRPr="00D85CF0">
        <w:rPr>
          <w:rFonts w:ascii="Times New Roman" w:hAnsi="Times New Roman"/>
          <w:b/>
          <w:sz w:val="28"/>
          <w:lang w:val="uk-UA"/>
        </w:rPr>
        <w:t xml:space="preserve"> “Про внесення змін до Закону України</w:t>
      </w:r>
      <w:r w:rsidR="00D85CF0" w:rsidRPr="00D85CF0">
        <w:rPr>
          <w:rFonts w:ascii="Times New Roman" w:hAnsi="Times New Roman"/>
          <w:b/>
          <w:sz w:val="28"/>
          <w:lang w:val="uk-UA"/>
        </w:rPr>
        <w:t xml:space="preserve"> </w:t>
      </w:r>
      <w:r w:rsidRPr="00D85CF0">
        <w:rPr>
          <w:rFonts w:ascii="Times New Roman" w:hAnsi="Times New Roman"/>
          <w:b/>
          <w:sz w:val="28"/>
          <w:lang w:val="uk-UA"/>
        </w:rPr>
        <w:t>“Про засади внутрішньої і зовнішньої політики” щодо засад внутрішньої політики у сфері формування державної ветеранської політики</w:t>
      </w:r>
    </w:p>
    <w:p w14:paraId="2CA1BF63" w14:textId="77777777" w:rsidR="00827C9C" w:rsidRPr="00D85CF0" w:rsidRDefault="00827C9C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827C9C" w:rsidRPr="00D85CF0" w14:paraId="55AFCF56" w14:textId="77777777" w:rsidTr="00D85CF0">
        <w:trPr>
          <w:trHeight w:val="59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150D" w14:textId="77777777" w:rsidR="00827C9C" w:rsidRPr="00D85CF0" w:rsidRDefault="00000000" w:rsidP="00D85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lang w:val="uk-UA" w:eastAsia="uk-UA"/>
              </w:rPr>
            </w:pPr>
            <w:r w:rsidRPr="00D85CF0">
              <w:rPr>
                <w:rFonts w:ascii="Times New Roman" w:hAnsi="Times New Roman"/>
                <w:b/>
                <w:color w:val="auto"/>
                <w:sz w:val="28"/>
                <w:lang w:val="uk-UA" w:eastAsia="uk-UA"/>
              </w:rPr>
              <w:t>Зміст положення акта законодавства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C76A2" w14:textId="77777777" w:rsidR="00827C9C" w:rsidRPr="00D85CF0" w:rsidRDefault="00000000" w:rsidP="00D85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lang w:val="uk-UA" w:eastAsia="uk-UA"/>
              </w:rPr>
            </w:pPr>
            <w:r w:rsidRPr="00D85CF0">
              <w:rPr>
                <w:rFonts w:ascii="Times New Roman" w:hAnsi="Times New Roman"/>
                <w:b/>
                <w:color w:val="auto"/>
                <w:sz w:val="28"/>
                <w:lang w:val="uk-UA" w:eastAsia="uk-UA"/>
              </w:rPr>
              <w:t>Зміст відповідного положення проекту акта</w:t>
            </w:r>
          </w:p>
        </w:tc>
      </w:tr>
      <w:tr w:rsidR="00827C9C" w:rsidRPr="00D85CF0" w14:paraId="49B5B538" w14:textId="77777777" w:rsidTr="00D85CF0">
        <w:trPr>
          <w:trHeight w:val="307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1EFB5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Стаття 6.</w:t>
            </w:r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 </w:t>
            </w: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Засади внутрішньої політики у сфері національної безпеки і оборони</w:t>
            </w:r>
          </w:p>
          <w:p w14:paraId="4945C7F2" w14:textId="77777777" w:rsidR="00827C9C" w:rsidRPr="00D85CF0" w:rsidRDefault="00000000" w:rsidP="00D85CF0">
            <w:pPr>
              <w:pStyle w:val="ad"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0" w:name="n64"/>
            <w:bookmarkEnd w:id="0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Основними засадами внутрішньої політики у сфері національної безпеки і оборони є:</w:t>
            </w:r>
          </w:p>
          <w:p w14:paraId="15147CE9" w14:textId="0E957370" w:rsidR="00827C9C" w:rsidRPr="00D85CF0" w:rsidRDefault="00000000" w:rsidP="00D85CF0">
            <w:pPr>
              <w:pStyle w:val="ad"/>
              <w:shd w:val="clear" w:color="auto" w:fill="FFFFFF"/>
              <w:adjustRightInd w:val="0"/>
              <w:snapToGri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  <w:p w14:paraId="4E08C2FF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1" w:name="n65"/>
            <w:bookmarkStart w:id="2" w:name="n70"/>
            <w:bookmarkEnd w:id="1"/>
            <w:bookmarkEnd w:id="2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удосконалення системи демократичного цивільного контролю над Воєнною організацією держави та правоохоронними органами, забезпечення їх відповідності вимогам європейських інституцій;</w:t>
            </w:r>
          </w:p>
          <w:p w14:paraId="412D8DFF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3" w:name="n71"/>
            <w:bookmarkEnd w:id="3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забезпечення реалізації гарантій соціального захисту військовослужбовців, осіб рядового і начальницького складу, працівників правоохоронних органів, інших прирівняних до них осіб та членів їхніх сімей;</w:t>
            </w:r>
          </w:p>
          <w:p w14:paraId="0BAD55EB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4" w:name="n72"/>
            <w:bookmarkEnd w:id="4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завершення формування і розвиток вітчизняного оборонно-промислового комплексу; впровадження практики державного замовлення на озброєння та військову техніку для Збройних Сил України, інших складових Воєнної організації держави;</w:t>
            </w:r>
          </w:p>
          <w:p w14:paraId="13C5C987" w14:textId="47B002C0" w:rsidR="00827C9C" w:rsidRPr="00D85CF0" w:rsidRDefault="0000000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85CF0">
              <w:rPr>
                <w:b/>
                <w:sz w:val="28"/>
                <w:szCs w:val="28"/>
                <w:lang w:val="uk-UA" w:eastAsia="uk-UA"/>
              </w:rPr>
              <w:t>абзац</w:t>
            </w:r>
            <w:r w:rsidR="00D85CF0" w:rsidRPr="00D85CF0">
              <w:rPr>
                <w:b/>
                <w:sz w:val="28"/>
                <w:szCs w:val="28"/>
                <w:lang w:val="uk-UA" w:eastAsia="uk-UA"/>
              </w:rPr>
              <w:t>и</w:t>
            </w:r>
            <w:r w:rsidRPr="00D85CF0">
              <w:rPr>
                <w:b/>
                <w:sz w:val="28"/>
                <w:szCs w:val="28"/>
                <w:lang w:val="uk-UA" w:eastAsia="uk-UA"/>
              </w:rPr>
              <w:t xml:space="preserve"> відсутні</w:t>
            </w:r>
          </w:p>
          <w:p w14:paraId="5A23E2BB" w14:textId="77777777" w:rsidR="00827C9C" w:rsidRPr="00D85CF0" w:rsidRDefault="00827C9C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6FB3299A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61B71CE4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476B466F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53449402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53896D3D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17EC4C58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3C9E814B" w14:textId="77777777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14:paraId="19ABEC98" w14:textId="6FBA24E1" w:rsidR="00D85CF0" w:rsidRPr="00D85CF0" w:rsidRDefault="00D85CF0" w:rsidP="00D85CF0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D85CF0">
              <w:rPr>
                <w:bCs/>
                <w:sz w:val="28"/>
                <w:szCs w:val="28"/>
                <w:lang w:val="uk-UA" w:eastAsia="uk-UA"/>
              </w:rPr>
              <w:t>…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C29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Стаття 6.</w:t>
            </w:r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 </w:t>
            </w: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Засади внутрішньої політики у сфері національної безпеки і оборони</w:t>
            </w:r>
          </w:p>
          <w:p w14:paraId="6530F2E5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 Основними засадами внутрішньої політики у сфері національної безпеки і оборони є:</w:t>
            </w:r>
          </w:p>
          <w:p w14:paraId="21E31ABA" w14:textId="167A358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  <w:p w14:paraId="20851BC0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удосконалення системи демократичного цивільного контролю над Воєнною організацією держави та правоохоронними органами, забезпечення їх відповідності вимогам європейських інституцій;</w:t>
            </w:r>
          </w:p>
          <w:p w14:paraId="2D8667D9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забезпечення реалізації гарантій соціального захисту військовослужбовців, осіб рядового і начальницького складу, працівників правоохоронних органів, інших прирівняних до них осіб та членів їхніх сімей;</w:t>
            </w:r>
          </w:p>
          <w:p w14:paraId="184AB42B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завершення формування і розвиток вітчизняного оборонно-промислового комплексу; впровадження практики державного замовлення на озброєння та військову техніку для Збройних Сил України, інших складових Воєнної організації держави;</w:t>
            </w:r>
          </w:p>
          <w:p w14:paraId="04EEA247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bookmarkStart w:id="5" w:name="_Hlk108684568"/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формування державної ветеранської політики; </w:t>
            </w:r>
          </w:p>
          <w:p w14:paraId="51D42A4D" w14:textId="4DB769EA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формування системи переходу з військової служби до цивільного життя;</w:t>
            </w:r>
          </w:p>
          <w:p w14:paraId="05A492C2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lastRenderedPageBreak/>
              <w:t xml:space="preserve">забезпечення системи соціальної підтримки </w:t>
            </w: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ветеранів війни, осіб, які мають особливі заслуги перед Батьківщиною, постраждалих учасників Революції Гідності, членів сімей </w:t>
            </w:r>
            <w:r w:rsidR="00D85CF0"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таких осіб</w:t>
            </w: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та членів сімей загиблих (померлих) ветеранів війни, членів сімей загиблих (померлих) Захисників та Захисниць України</w:t>
            </w:r>
            <w:bookmarkEnd w:id="5"/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85CF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14:paraId="5367A1C4" w14:textId="76465993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…</w:t>
            </w:r>
          </w:p>
        </w:tc>
      </w:tr>
      <w:tr w:rsidR="00827C9C" w:rsidRPr="00D85CF0" w14:paraId="70CF4341" w14:textId="77777777" w:rsidTr="00D85CF0">
        <w:trPr>
          <w:trHeight w:val="98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5F717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Стаття 8. Засади внутрішньої політики в соціальній сфері</w:t>
            </w:r>
          </w:p>
          <w:p w14:paraId="29150DB7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6" w:name="n108"/>
            <w:bookmarkEnd w:id="6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1.Основними засадами внутрішньої політики в соціальній сфері є:</w:t>
            </w:r>
          </w:p>
          <w:p w14:paraId="27BBEF96" w14:textId="48A58FAB" w:rsidR="00827C9C" w:rsidRPr="00D85CF0" w:rsidRDefault="00000000" w:rsidP="00D85CF0">
            <w:pPr>
              <w:pStyle w:val="ad"/>
              <w:shd w:val="clear" w:color="auto" w:fill="FFFFFF"/>
              <w:adjustRightInd w:val="0"/>
              <w:snapToGri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  <w:bookmarkStart w:id="7" w:name="n109"/>
            <w:bookmarkStart w:id="8" w:name="n114"/>
            <w:bookmarkEnd w:id="7"/>
            <w:bookmarkEnd w:id="8"/>
          </w:p>
          <w:p w14:paraId="6FE3199E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забезпечення доступним житлом громадян, насамперед малозабезпечених, з обмеженими фізичними можливостями, дітей-сиріт та дітей, позбавлених батьківського піклування, осіб з їх числа, молоді,  працівників бюджетної сфери, а також багатодітних сімей, формування потужного державного замовлення на будівництво соціального житла, відродження доступного іпотечного кредитування;</w:t>
            </w:r>
          </w:p>
          <w:p w14:paraId="765AB137" w14:textId="77777777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6B835DF0" w14:textId="77777777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7DBF31A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354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Стаття 8. Засади внутрішньої політики в соціальній сфері</w:t>
            </w:r>
          </w:p>
          <w:p w14:paraId="44C8B0E9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1.Основними засадами внутрішньої політики в соціальній сфері є:</w:t>
            </w:r>
          </w:p>
          <w:p w14:paraId="6237BADA" w14:textId="6A0B255F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  <w:p w14:paraId="0F081FBB" w14:textId="486BF6DD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забезпечення доступним житлом громадян, насамперед малозабезпечених, з обмеженими фізичними можливостями, дітей-сиріт та дітей, позбавлених батьківського піклування</w:t>
            </w:r>
            <w:bookmarkStart w:id="9" w:name="_Hlk108684708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осіб з їх числа, </w:t>
            </w:r>
            <w:bookmarkEnd w:id="9"/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ветеранів війни, членів сімей загиблих (померлих) ветеранів, членів сімей загиблих ( померлих) Захисників та Захисниць України</w:t>
            </w: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 молоді, працівників бюджетної сфери, а також багатодітних сімей, формування потужного державного замовлення на будівництво соціального житла, відродження доступного іпотечного кредитування;</w:t>
            </w:r>
          </w:p>
          <w:p w14:paraId="45B5F6F1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</w:tc>
      </w:tr>
      <w:tr w:rsidR="00827C9C" w:rsidRPr="00D85CF0" w14:paraId="2D5E6C2F" w14:textId="77777777" w:rsidTr="00D85CF0">
        <w:trPr>
          <w:trHeight w:val="98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E4C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Стаття 10. Засади внутрішньої політики в гуманітарній сфері</w:t>
            </w:r>
          </w:p>
          <w:p w14:paraId="65B552D9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10" w:name="n132"/>
            <w:bookmarkEnd w:id="10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 Основними засадами внутрішньої політики в гуманітарній сфері є:</w:t>
            </w:r>
          </w:p>
          <w:p w14:paraId="7838357B" w14:textId="4B8D3E7C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bookmarkStart w:id="11" w:name="n133"/>
            <w:bookmarkEnd w:id="11"/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…</w:t>
            </w:r>
          </w:p>
          <w:p w14:paraId="1F68AA0B" w14:textId="51697011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запровадження пріоритетного розвитку та профілактичного спрямування первинної лікувально-профілактичної допомоги, розвиток інституту сімейного лікаря, забезпечення проведення обов</w:t>
            </w:r>
            <w:r w:rsidR="00D85CF0"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язкових </w:t>
            </w:r>
            <w:r w:rsidRPr="00D85CF0">
              <w:rPr>
                <w:rFonts w:ascii="Times New Roman" w:hAnsi="Times New Roman"/>
                <w:b/>
                <w:bCs/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профілактичних медичних оглядів (диспансеризації) 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 метою ранньої діагностики захворювань та раннього втручання, створення єдиного простору доступної для всіх верств населення медичної допомоги;</w:t>
            </w:r>
            <w:bookmarkStart w:id="12" w:name="n150"/>
            <w:bookmarkStart w:id="13" w:name="n152"/>
            <w:bookmarkStart w:id="14" w:name="n216"/>
            <w:bookmarkStart w:id="15" w:name="n215"/>
            <w:bookmarkEnd w:id="12"/>
            <w:bookmarkEnd w:id="13"/>
            <w:bookmarkEnd w:id="14"/>
            <w:bookmarkEnd w:id="15"/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14:paraId="54FD29CB" w14:textId="77777777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0D50334D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абзац відсутній</w:t>
            </w:r>
          </w:p>
          <w:p w14:paraId="58CCD981" w14:textId="77777777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45C0FD1C" w14:textId="0F3946FC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2364FD27" w14:textId="77777777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17BAED72" w14:textId="77777777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7933F2D2" w14:textId="77777777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</w:p>
          <w:p w14:paraId="58F75C45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державної політики у сфері фізичної культури і спорту, сприяння популяризації та поширенню здорового способу життя, організації змістовного дозвілля;</w:t>
            </w:r>
          </w:p>
          <w:p w14:paraId="249BB82E" w14:textId="74507F35" w:rsidR="00827C9C" w:rsidRPr="00D85CF0" w:rsidRDefault="00827C9C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4F2CFD61" w14:textId="77777777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27EA7749" w14:textId="77777777" w:rsidR="00827C9C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забезпечення проведення комплексних заходів щодо національно-патріотичного виховання дітей та молоді, формування активної громадянської позиції та залучення їх до суспільного життя;</w:t>
            </w:r>
          </w:p>
          <w:p w14:paraId="2E8F2D86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  <w:t>абзаци відсутні</w:t>
            </w:r>
          </w:p>
          <w:p w14:paraId="2CA1A6ED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6163DD66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38AB6358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32882EED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3244B1EE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6B3D1C0B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4B877BC3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53A57B37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303BA0A1" w14:textId="77777777" w:rsid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</w:p>
          <w:p w14:paraId="04F592E2" w14:textId="51B7324B" w:rsidR="00D85CF0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…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0973B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Стаття 10. Засади внутрішньої політики в гуманітарній сфері</w:t>
            </w:r>
          </w:p>
          <w:p w14:paraId="038695F1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1.Основними засадами внутрішньої політики в гуманітарній сфері є:</w:t>
            </w:r>
          </w:p>
          <w:p w14:paraId="5D32FA6B" w14:textId="0717E834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…</w:t>
            </w:r>
          </w:p>
          <w:p w14:paraId="07BDB9BC" w14:textId="360A2F08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запровадження пріоритетного розвитку та профілактичного спрямування первинної лікувально-профілактичної допомоги, розвиток інституту сімейного лікаря, забезпечення проведення обов</w:t>
            </w:r>
            <w:r w:rsidR="00D85CF0"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язкових </w:t>
            </w: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скринінгів та профілактичних процедур на рівні первинної медичної допомоги 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метою ранньої діагностики захворювань та раннього втручання, створення єдиного простору доступної для всіх верств населення медичної допомоги;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48B1321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6" w:name="_Hlk108686203"/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запровадження системи психологічної допомоги  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ветеранам війни та членам їх сімей,</w:t>
            </w:r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членам сімей загиблих  (померлих) ветеранів, членам сімей загиблих  (померлих) Захисників та Захисниць України, 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цивільним громадянам та дітям, які постраждали внаслідок військових дій</w:t>
            </w:r>
            <w:bookmarkEnd w:id="16"/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14:paraId="36698473" w14:textId="341252DC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удосконалення державної політики </w:t>
            </w:r>
            <w:bookmarkStart w:id="17" w:name="_Hlk108686268"/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 сфері фізичної культури і спорту</w:t>
            </w:r>
            <w:bookmarkStart w:id="18" w:name="_Hlk108686335"/>
            <w:bookmarkEnd w:id="17"/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в тому числі ветеранського спорту та фізкультурно-спортивної реабілітації</w:t>
            </w:r>
            <w:bookmarkEnd w:id="18"/>
            <w:r w:rsidRPr="00D85CF0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,</w:t>
            </w:r>
            <w:r w:rsidRPr="00D85CF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сприяння популяризації та поширенню здорового способу життя, організації змістовного дозвілля;</w:t>
            </w:r>
          </w:p>
          <w:p w14:paraId="090AF0BE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D85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забезпечення проведення комплексних заходів щодо національно-патріотичного виховання дітей та молоді, формування активної громадянської позиції та залучення їх до суспільного життя;</w:t>
            </w:r>
          </w:p>
          <w:p w14:paraId="03C26F03" w14:textId="7777777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9" w:name="_Hlk108695443"/>
            <w:r w:rsidRPr="00D85CF0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запровадження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комплексних заходів, спрямованих на формування громадянської ідентичності, зокрема через формування у суспільстві культури вдячності Захисникам та Захисницям України, в тому числі 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загиблим (померлим) Захисникам та Захисницям України;</w:t>
            </w:r>
          </w:p>
          <w:p w14:paraId="55296C3A" w14:textId="4DA20C57" w:rsidR="00827C9C" w:rsidRPr="00D85CF0" w:rsidRDefault="0000000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реалізація заходів, спрямованих на </w:t>
            </w:r>
            <w:r w:rsidR="007A56D2"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героїзацію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Захисників та Захисниць України та забезпечення гідного вшанування та увічнення пам</w:t>
            </w:r>
            <w:r w:rsid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D85C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яті загиблих (померлих) Захисників та Захисниць України.</w:t>
            </w:r>
          </w:p>
          <w:bookmarkEnd w:id="19"/>
          <w:p w14:paraId="3129D85E" w14:textId="0772414A" w:rsidR="00827C9C" w:rsidRPr="00D85CF0" w:rsidRDefault="00D85CF0" w:rsidP="00D85CF0">
            <w:pPr>
              <w:shd w:val="clear" w:color="auto" w:fill="FFFFFF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 w:rsidRPr="00D85CF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…</w:t>
            </w:r>
          </w:p>
        </w:tc>
      </w:tr>
    </w:tbl>
    <w:p w14:paraId="1A691F58" w14:textId="77777777" w:rsidR="00827C9C" w:rsidRPr="00D85CF0" w:rsidRDefault="00827C9C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lang w:val="uk-UA" w:eastAsia="uk-UA"/>
        </w:rPr>
      </w:pPr>
    </w:p>
    <w:p w14:paraId="447B76E6" w14:textId="77777777" w:rsidR="00827C9C" w:rsidRPr="00D85CF0" w:rsidRDefault="00827C9C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lang w:val="uk-UA" w:eastAsia="uk-UA"/>
        </w:rPr>
      </w:pPr>
    </w:p>
    <w:p w14:paraId="408FB169" w14:textId="51254DA7" w:rsidR="00D85CF0" w:rsidRDefault="00000000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lang w:val="uk-UA" w:eastAsia="uk-UA"/>
        </w:rPr>
      </w:pPr>
      <w:r w:rsidRPr="00D85CF0">
        <w:rPr>
          <w:rFonts w:ascii="Times New Roman" w:hAnsi="Times New Roman"/>
          <w:b/>
          <w:color w:val="auto"/>
          <w:sz w:val="28"/>
          <w:lang w:val="uk-UA" w:eastAsia="uk-UA"/>
        </w:rPr>
        <w:t>Міністр у справах ветеранів України                                                                                       Юлія ЛАПУТІНА</w:t>
      </w:r>
    </w:p>
    <w:p w14:paraId="06998196" w14:textId="77777777" w:rsidR="00D85CF0" w:rsidRDefault="00D85CF0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lang w:val="uk-UA" w:eastAsia="uk-UA"/>
        </w:rPr>
      </w:pPr>
    </w:p>
    <w:p w14:paraId="4F8D1BE9" w14:textId="3F7B2A05" w:rsidR="00827C9C" w:rsidRPr="00D85CF0" w:rsidRDefault="00D85CF0">
      <w:p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lang w:val="uk-UA"/>
        </w:rPr>
      </w:pPr>
      <w:r w:rsidRPr="00D85CF0">
        <w:rPr>
          <w:rFonts w:ascii="Times New Roman" w:hAnsi="Times New Roman"/>
          <w:bCs/>
          <w:color w:val="auto"/>
          <w:sz w:val="28"/>
          <w:lang w:val="uk-UA" w:eastAsia="uk-UA"/>
        </w:rPr>
        <w:t xml:space="preserve">___ _________ 2022 року    </w:t>
      </w:r>
    </w:p>
    <w:sectPr w:rsidR="00827C9C" w:rsidRPr="00D85CF0" w:rsidSect="00D85CF0">
      <w:headerReference w:type="default" r:id="rId7"/>
      <w:pgSz w:w="16838" w:h="11906" w:orient="landscape"/>
      <w:pgMar w:top="1134" w:right="1103" w:bottom="1418" w:left="1134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B33D" w14:textId="77777777" w:rsidR="00361302" w:rsidRDefault="00361302">
      <w:pPr>
        <w:spacing w:after="0" w:line="240" w:lineRule="auto"/>
      </w:pPr>
      <w:r>
        <w:separator/>
      </w:r>
    </w:p>
  </w:endnote>
  <w:endnote w:type="continuationSeparator" w:id="0">
    <w:p w14:paraId="143CAE3E" w14:textId="77777777" w:rsidR="00361302" w:rsidRDefault="003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CDEF" w14:textId="77777777" w:rsidR="00361302" w:rsidRDefault="00361302">
      <w:pPr>
        <w:spacing w:after="0" w:line="240" w:lineRule="auto"/>
      </w:pPr>
      <w:r>
        <w:separator/>
      </w:r>
    </w:p>
  </w:footnote>
  <w:footnote w:type="continuationSeparator" w:id="0">
    <w:p w14:paraId="00D35266" w14:textId="77777777" w:rsidR="00361302" w:rsidRDefault="0036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5952" w14:textId="77777777" w:rsidR="00827C9C" w:rsidRPr="00D85CF0" w:rsidRDefault="00000000">
    <w:pPr>
      <w:pStyle w:val="a7"/>
      <w:jc w:val="center"/>
      <w:rPr>
        <w:rFonts w:ascii="Times New Roman" w:hAnsi="Times New Roman"/>
        <w:sz w:val="28"/>
        <w:szCs w:val="28"/>
      </w:rPr>
    </w:pPr>
    <w:r w:rsidRPr="00D85CF0">
      <w:rPr>
        <w:rFonts w:ascii="Times New Roman" w:hAnsi="Times New Roman"/>
        <w:sz w:val="28"/>
        <w:szCs w:val="28"/>
      </w:rPr>
      <w:fldChar w:fldCharType="begin"/>
    </w:r>
    <w:r w:rsidRPr="00D85CF0">
      <w:rPr>
        <w:rFonts w:ascii="Times New Roman" w:hAnsi="Times New Roman"/>
        <w:sz w:val="28"/>
        <w:szCs w:val="28"/>
      </w:rPr>
      <w:instrText>PAGE   \* MERGEFORMAT</w:instrText>
    </w:r>
    <w:r w:rsidRPr="00D85CF0">
      <w:rPr>
        <w:rFonts w:ascii="Times New Roman" w:hAnsi="Times New Roman"/>
        <w:sz w:val="28"/>
        <w:szCs w:val="28"/>
      </w:rPr>
      <w:fldChar w:fldCharType="separate"/>
    </w:r>
    <w:r w:rsidRPr="00D85CF0">
      <w:rPr>
        <w:rFonts w:ascii="Times New Roman" w:hAnsi="Times New Roman"/>
        <w:noProof/>
        <w:sz w:val="28"/>
        <w:szCs w:val="28"/>
      </w:rPr>
      <w:t>#</w:t>
    </w:r>
    <w:r w:rsidRPr="00D85CF0">
      <w:rPr>
        <w:rFonts w:ascii="Times New Roman" w:hAnsi="Times New Roman"/>
        <w:sz w:val="28"/>
        <w:szCs w:val="28"/>
      </w:rPr>
      <w:fldChar w:fldCharType="end"/>
    </w:r>
  </w:p>
  <w:p w14:paraId="5A0281FE" w14:textId="77777777" w:rsidR="00827C9C" w:rsidRPr="00D85CF0" w:rsidRDefault="00827C9C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6E"/>
    <w:multiLevelType w:val="hybridMultilevel"/>
    <w:tmpl w:val="B1CA0636"/>
    <w:lvl w:ilvl="0" w:tplc="13563F62">
      <w:start w:val="1"/>
      <w:numFmt w:val="decimal"/>
      <w:lvlText w:val="%1."/>
      <w:lvlJc w:val="left"/>
      <w:pPr>
        <w:ind w:left="810" w:hanging="360"/>
      </w:p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7A711E"/>
    <w:multiLevelType w:val="hybridMultilevel"/>
    <w:tmpl w:val="454E2696"/>
    <w:lvl w:ilvl="0" w:tplc="189EEBDA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7656"/>
    <w:multiLevelType w:val="hybridMultilevel"/>
    <w:tmpl w:val="124C33B4"/>
    <w:lvl w:ilvl="0" w:tplc="6DC814AC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4105">
    <w:abstractNumId w:val="1"/>
  </w:num>
  <w:num w:numId="2" w16cid:durableId="1754085881">
    <w:abstractNumId w:val="2"/>
  </w:num>
  <w:num w:numId="3" w16cid:durableId="79418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9C"/>
    <w:rsid w:val="00361302"/>
    <w:rsid w:val="007A56D2"/>
    <w:rsid w:val="00827C9C"/>
    <w:rsid w:val="00B32F71"/>
    <w:rsid w:val="00D85CF0"/>
    <w:rsid w:val="00DE69CB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BA43"/>
  <w15:docId w15:val="{934656AF-ED95-4262-8B23-1729493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0"/>
      <w:u w:color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color w:val="2F5496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lang w:val="uk-UA" w:eastAsia="uk-UA"/>
    </w:rPr>
  </w:style>
  <w:style w:type="paragraph" w:styleId="a3">
    <w:name w:val="Title"/>
    <w:basedOn w:val="a"/>
    <w:link w:val="a4"/>
    <w:uiPriority w:val="10"/>
    <w:qFormat/>
    <w:pPr>
      <w:spacing w:after="0" w:line="240" w:lineRule="auto"/>
      <w:jc w:val="center"/>
    </w:pPr>
    <w:rPr>
      <w:rFonts w:ascii="Times New Roman" w:hAnsi="Times New Roman"/>
      <w:b/>
      <w:color w:val="auto"/>
      <w:sz w:val="28"/>
      <w:lang w:val="uk-UA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/>
      <w:color w:val="auto"/>
      <w:sz w:val="24"/>
    </w:rPr>
  </w:style>
  <w:style w:type="paragraph" w:styleId="a5">
    <w:name w:val="Body Text"/>
    <w:basedOn w:val="a"/>
    <w:link w:val="a6"/>
    <w:pPr>
      <w:suppressAutoHyphens/>
      <w:spacing w:after="120" w:line="240" w:lineRule="auto"/>
    </w:pPr>
    <w:rPr>
      <w:rFonts w:ascii="Times New Roman" w:hAnsi="Times New Roman"/>
      <w:color w:val="auto"/>
      <w:sz w:val="24"/>
      <w:lang w:eastAsia="ar-SA"/>
    </w:rPr>
  </w:style>
  <w:style w:type="paragraph" w:customStyle="1" w:styleId="11">
    <w:name w:val="Звичайний1"/>
    <w:pPr>
      <w:spacing w:after="0" w:line="276" w:lineRule="auto"/>
    </w:pPr>
    <w:rPr>
      <w:rFonts w:ascii="Arial" w:hAnsi="Arial"/>
      <w:color w:val="000000"/>
      <w:lang w:val="ru-RU" w:eastAsia="ru-RU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ab">
    <w:name w:val="Balloon Text"/>
    <w:basedOn w:val="a"/>
    <w:link w:val="ac"/>
    <w:semiHidden/>
    <w:pPr>
      <w:spacing w:after="0" w:line="240" w:lineRule="auto"/>
    </w:pPr>
    <w:rPr>
      <w:rFonts w:ascii="Segoe UI" w:hAnsi="Segoe UI"/>
      <w:sz w:val="1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uk-UA" w:eastAsia="uk-UA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semiHidden/>
    <w:rPr>
      <w:color w:val="0000FF"/>
      <w:u w:val="single"/>
    </w:rPr>
  </w:style>
  <w:style w:type="character" w:customStyle="1" w:styleId="HTML0">
    <w:name w:val="Стандартний HTML Знак"/>
    <w:basedOn w:val="a0"/>
    <w:link w:val="HTML"/>
    <w:semiHidden/>
    <w:rPr>
      <w:rFonts w:ascii="Courier New" w:hAnsi="Courier New"/>
      <w:color w:val="auto"/>
      <w:sz w:val="20"/>
      <w:lang w:val="uk-UA" w:eastAsia="uk-UA"/>
    </w:rPr>
  </w:style>
  <w:style w:type="character" w:customStyle="1" w:styleId="a4">
    <w:name w:val="Назва Знак"/>
    <w:basedOn w:val="a0"/>
    <w:link w:val="a3"/>
    <w:rPr>
      <w:rFonts w:ascii="Times New Roman" w:hAnsi="Times New Roman"/>
      <w:b/>
      <w:color w:val="auto"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rFonts w:ascii="Times New Roman" w:hAnsi="Times New Roman"/>
      <w:color w:val="auto"/>
      <w:sz w:val="24"/>
    </w:rPr>
  </w:style>
  <w:style w:type="character" w:customStyle="1" w:styleId="21">
    <w:name w:val="Основний текст з відступом 2 Знак1"/>
    <w:basedOn w:val="a0"/>
    <w:semiHidden/>
    <w:rPr>
      <w:color w:val="000000"/>
      <w:u w:val="none" w:color="000000"/>
      <w:lang w:val="ru-RU" w:eastAsia="ru-RU"/>
    </w:rPr>
  </w:style>
  <w:style w:type="character" w:customStyle="1" w:styleId="af1">
    <w:name w:val="Нет"/>
  </w:style>
  <w:style w:type="character" w:customStyle="1" w:styleId="a6">
    <w:name w:val="Основний текст Знак"/>
    <w:basedOn w:val="a0"/>
    <w:link w:val="a5"/>
    <w:semiHidden/>
    <w:rPr>
      <w:rFonts w:ascii="Times New Roman" w:hAnsi="Times New Roman"/>
      <w:color w:val="auto"/>
      <w:sz w:val="24"/>
      <w:lang w:eastAsia="ar-SA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Верхній колонтитул Знак"/>
    <w:basedOn w:val="a0"/>
    <w:link w:val="a7"/>
  </w:style>
  <w:style w:type="character" w:customStyle="1" w:styleId="aa">
    <w:name w:val="Нижній колонтитул Знак"/>
    <w:basedOn w:val="a0"/>
    <w:link w:val="a9"/>
  </w:style>
  <w:style w:type="character" w:customStyle="1" w:styleId="rvts9">
    <w:name w:val="rvts9"/>
    <w:basedOn w:val="a0"/>
  </w:style>
  <w:style w:type="character" w:customStyle="1" w:styleId="ac">
    <w:name w:val="Текст у виносці Знак"/>
    <w:basedOn w:val="a0"/>
    <w:link w:val="ab"/>
    <w:semiHidden/>
    <w:rPr>
      <w:rFonts w:ascii="Segoe UI" w:hAnsi="Segoe UI"/>
      <w:sz w:val="18"/>
    </w:rPr>
  </w:style>
  <w:style w:type="character" w:customStyle="1" w:styleId="10">
    <w:name w:val="Заголовок 1 Знак"/>
    <w:basedOn w:val="a0"/>
    <w:link w:val="1"/>
    <w:rPr>
      <w:color w:val="2F5496" w:themeColor="accent1" w:themeShade="BF"/>
      <w:sz w:val="32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3918</Words>
  <Characters>2234</Characters>
  <Application>Microsoft Office Word</Application>
  <DocSecurity>0</DocSecurity>
  <Lines>18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Фабричева Ольга Володимирівна</cp:lastModifiedBy>
  <cp:revision>27</cp:revision>
  <cp:lastPrinted>2022-07-14T07:50:00Z</cp:lastPrinted>
  <dcterms:created xsi:type="dcterms:W3CDTF">2022-02-22T06:40:00Z</dcterms:created>
  <dcterms:modified xsi:type="dcterms:W3CDTF">2022-07-19T13:25:00Z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