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Pr="00045918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045918">
        <w:rPr>
          <w:b/>
          <w:color w:val="303030"/>
          <w:sz w:val="28"/>
          <w:szCs w:val="28"/>
        </w:rPr>
        <w:t>ОПИС ВАКАНТНОЇ ПОСАДИ</w:t>
      </w:r>
    </w:p>
    <w:p w14:paraId="4D5781D7" w14:textId="38D222D9" w:rsidR="00174AAC" w:rsidRPr="00045918" w:rsidRDefault="00635AA7" w:rsidP="00174AAC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sz w:val="28"/>
          <w:szCs w:val="28"/>
        </w:rPr>
      </w:pPr>
      <w:r w:rsidRPr="00045918">
        <w:rPr>
          <w:rStyle w:val="fontstyle01"/>
          <w:rFonts w:ascii="Times New Roman" w:hAnsi="Times New Roman"/>
          <w:b w:val="0"/>
          <w:sz w:val="28"/>
          <w:szCs w:val="28"/>
        </w:rPr>
        <w:t xml:space="preserve">державної служби категорії </w:t>
      </w:r>
      <w:r w:rsidR="00045918" w:rsidRPr="00045918">
        <w:rPr>
          <w:rStyle w:val="fontstyle01"/>
          <w:rFonts w:ascii="Times New Roman" w:hAnsi="Times New Roman"/>
          <w:b w:val="0"/>
          <w:sz w:val="28"/>
          <w:szCs w:val="28"/>
        </w:rPr>
        <w:t>“</w:t>
      </w:r>
      <w:r w:rsidR="000462B8" w:rsidRPr="00045918">
        <w:rPr>
          <w:rStyle w:val="fontstyle01"/>
          <w:rFonts w:ascii="Times New Roman" w:hAnsi="Times New Roman"/>
          <w:b w:val="0"/>
          <w:sz w:val="28"/>
          <w:szCs w:val="28"/>
        </w:rPr>
        <w:t>В</w:t>
      </w:r>
      <w:r w:rsidR="00045918" w:rsidRPr="00045918">
        <w:rPr>
          <w:rStyle w:val="fontstyle01"/>
          <w:rFonts w:ascii="Times New Roman" w:hAnsi="Times New Roman"/>
          <w:b w:val="0"/>
          <w:sz w:val="28"/>
          <w:szCs w:val="28"/>
        </w:rPr>
        <w:t>”</w:t>
      </w:r>
      <w:r w:rsidRPr="00045918">
        <w:rPr>
          <w:sz w:val="28"/>
          <w:szCs w:val="28"/>
        </w:rPr>
        <w:t xml:space="preserve"> </w:t>
      </w:r>
      <w:r w:rsidR="00174AAC" w:rsidRPr="00045918">
        <w:rPr>
          <w:noProof/>
          <w:sz w:val="28"/>
          <w:szCs w:val="28"/>
        </w:rPr>
        <w:t>державного експерта експертної групи з  формування та розвитку регіональної політики у справах ветеранів Директорату стратегічного планування та європейської інтеграції</w:t>
      </w:r>
      <w:r w:rsidR="00174AAC" w:rsidRPr="00045918">
        <w:rPr>
          <w:sz w:val="28"/>
          <w:szCs w:val="28"/>
        </w:rPr>
        <w:t xml:space="preserve"> </w:t>
      </w:r>
      <w:r w:rsidRPr="00045918">
        <w:rPr>
          <w:sz w:val="28"/>
          <w:szCs w:val="28"/>
        </w:rPr>
        <w:t>Міністерства у справах ветеранів України</w:t>
      </w:r>
      <w:r w:rsidRPr="00045918">
        <w:rPr>
          <w:b/>
          <w:sz w:val="28"/>
          <w:szCs w:val="28"/>
        </w:rPr>
        <w:t xml:space="preserve"> </w:t>
      </w:r>
    </w:p>
    <w:p w14:paraId="6668D0F6" w14:textId="77777777" w:rsidR="00160492" w:rsidRPr="00AF252D" w:rsidRDefault="001604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105"/>
        <w:gridCol w:w="5097"/>
      </w:tblGrid>
      <w:tr w:rsidR="00AF252D" w:rsidRPr="00AF252D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AF252D" w:rsidRDefault="00635AA7" w:rsidP="0063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</w:tc>
      </w:tr>
      <w:tr w:rsidR="00AF252D" w:rsidRPr="00AF252D" w14:paraId="15A380A6" w14:textId="77777777" w:rsidTr="00045918">
        <w:tc>
          <w:tcPr>
            <w:tcW w:w="4531" w:type="dxa"/>
            <w:gridSpan w:val="2"/>
          </w:tcPr>
          <w:p w14:paraId="59B64F65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097" w:type="dxa"/>
          </w:tcPr>
          <w:p w14:paraId="04F7A8D7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1. Проводить аналіз:</w:t>
            </w:r>
          </w:p>
          <w:p w14:paraId="2C14F24F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ефективності реалізації регіональної політики у справах ветеранів, нормативно-правових актів у сфері формування та реалізації регіональної політики у справах ветеранів. Виявляє проблеми, прогалини та неузгодженості;</w:t>
            </w:r>
          </w:p>
          <w:p w14:paraId="3AA08F00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нормативно-правових актів у сфері, що належить до компетенції Експертної групи, виявляє прогалини та неузгодженості. Розробляє пропозиції щодо вдосконалення нормативно-правових актів подає в установленому порядку проекти актів законодавства.</w:t>
            </w:r>
          </w:p>
          <w:p w14:paraId="3C9AC5B9" w14:textId="5D9E9BCB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2. Формує пропозиції щодо варіантів розв’язання виявлених проблем, здійснює оцінку їх переваг та ризиків, враховуючи сучасні європейські стандарти в межах компетенцій Експертної групи, готує відповідні проекти документів державної політики, аналітичні, інформаційні, довідкові та інші матеріали та подає їх на розгляд керівнику Експертної групи та генеральному директору Директорату. </w:t>
            </w:r>
            <w:r w:rsidR="00545E2B" w:rsidRPr="00AF25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Забезпечує проведення консультацій із зацікавленими сторонами для залучення їх до процесу формування державної політики з питань реалізації регіональної політики у справах ветеранів війни, вивчає, узагальнює і враховує результати таких консультацій під час аналізу стану справ у зазначеній сфері.</w:t>
            </w:r>
          </w:p>
          <w:p w14:paraId="18A01211" w14:textId="27ED0F30" w:rsidR="00AA4727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. Висловлює в межах компетенції позицію щодо </w:t>
            </w:r>
            <w:proofErr w:type="spellStart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 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державної політики та актів законодавства, що готуються іншими структурними підрозділами апарату </w:t>
            </w:r>
            <w:proofErr w:type="spellStart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або іншими державними органами влади та подаються на розгляд Кабінету Міністрів України, а також </w:t>
            </w:r>
            <w:proofErr w:type="spellStart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законопроєктів</w:t>
            </w:r>
            <w:proofErr w:type="spellEnd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, які подаються на розгляд Верховної Ради України іншими суб’єктами права законодавчої ініціативи.</w:t>
            </w:r>
          </w:p>
          <w:p w14:paraId="4FE1D112" w14:textId="7382FCA4" w:rsidR="00AA4727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Бере у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часть у розробці нормативно-правових актів у сфері компетенції Експертної групи та здійснює їх експертизу.</w:t>
            </w:r>
          </w:p>
          <w:p w14:paraId="251E708A" w14:textId="076D54DF" w:rsidR="00AA4727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. Розгляд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ає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та підготов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ляє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на звернення громадян, органів державної влади, підприємств, установ, організацій, об’єднань громадян, забезпечення обробки персональних даних фізичних осіб відповідно до законодавства з питань захисту персональних даних для виконання посадових обов’язків відповідно до компетенції Експертної групи.</w:t>
            </w:r>
          </w:p>
          <w:p w14:paraId="1BD01F2C" w14:textId="57C5306D" w:rsidR="00AA4727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Бере у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часть у роботі постійних комісій, робочих груп, конференціях, нарадах, інших заходах у разі розгляду питань, що належить до його компетенції.</w:t>
            </w:r>
          </w:p>
          <w:p w14:paraId="44AF30AE" w14:textId="77777777" w:rsidR="00AF252D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Бере у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часть у складанні звітності про роботу Директорату за встановленими формами. </w:t>
            </w:r>
          </w:p>
          <w:p w14:paraId="1A48A7F0" w14:textId="76EDA3B2" w:rsidR="00AA4727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Здійсн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ює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взаємоді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Українським ветеранським фондом з питань виконання </w:t>
            </w:r>
            <w:proofErr w:type="spellStart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, що реалізуються за його підтримки.</w:t>
            </w:r>
          </w:p>
          <w:p w14:paraId="4210B2AD" w14:textId="49EC1A54" w:rsidR="00AA4727" w:rsidRPr="00AF252D" w:rsidRDefault="00545E2B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Виконує інші завдання керівника </w:t>
            </w:r>
            <w:r w:rsidR="00AF252D" w:rsidRPr="00AF2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4727" w:rsidRPr="00AF252D">
              <w:rPr>
                <w:rFonts w:ascii="Times New Roman" w:hAnsi="Times New Roman" w:cs="Times New Roman"/>
                <w:sz w:val="28"/>
                <w:szCs w:val="28"/>
              </w:rPr>
              <w:t>кспертної групи.</w:t>
            </w:r>
          </w:p>
        </w:tc>
      </w:tr>
      <w:tr w:rsidR="00AF252D" w:rsidRPr="00AF252D" w14:paraId="480BEA68" w14:textId="77777777" w:rsidTr="00045918">
        <w:tc>
          <w:tcPr>
            <w:tcW w:w="4531" w:type="dxa"/>
            <w:gridSpan w:val="2"/>
          </w:tcPr>
          <w:p w14:paraId="3C8B2610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097" w:type="dxa"/>
          </w:tcPr>
          <w:p w14:paraId="414011C6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 оклад – 11 300 грн.,</w:t>
            </w:r>
          </w:p>
          <w:p w14:paraId="51F6AA3A" w14:textId="07E631EF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</w:t>
            </w:r>
            <w:r w:rsidR="00045918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Про державну службу</w:t>
            </w:r>
            <w:r w:rsidR="00045918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14:paraId="7EED4FFA" w14:textId="52D1FC98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 18 січня  2017 року № 15 </w:t>
            </w:r>
            <w:r w:rsidR="00045918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 оплати праці працівників державних органів</w:t>
            </w:r>
            <w:r w:rsidR="00045918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(із змінами); </w:t>
            </w:r>
          </w:p>
          <w:p w14:paraId="71223303" w14:textId="4B34F883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="00487F64" w:rsidRPr="00BF1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F64">
              <w:rPr>
                <w:rFonts w:ascii="Times New Roman" w:hAnsi="Times New Roman"/>
                <w:sz w:val="28"/>
                <w:szCs w:val="28"/>
              </w:rPr>
              <w:t>Н</w:t>
            </w:r>
            <w:r w:rsidR="00487F64" w:rsidRPr="00BF1D1A">
              <w:rPr>
                <w:rFonts w:ascii="Times New Roman" w:hAnsi="Times New Roman"/>
                <w:sz w:val="28"/>
                <w:szCs w:val="28"/>
              </w:rPr>
              <w:t>адбавка за виконання особливо важливої роботи – 3</w:t>
            </w:r>
            <w:r w:rsidR="00487F64">
              <w:rPr>
                <w:rFonts w:ascii="Times New Roman" w:hAnsi="Times New Roman"/>
                <w:sz w:val="28"/>
                <w:szCs w:val="28"/>
              </w:rPr>
              <w:t>0</w:t>
            </w:r>
            <w:r w:rsidR="00487F64" w:rsidRPr="00BF1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F64">
              <w:rPr>
                <w:rFonts w:ascii="Times New Roman" w:hAnsi="Times New Roman"/>
                <w:sz w:val="28"/>
                <w:szCs w:val="28"/>
              </w:rPr>
              <w:t>5</w:t>
            </w:r>
            <w:r w:rsidR="00487F64" w:rsidRPr="00BF1D1A">
              <w:rPr>
                <w:rFonts w:ascii="Times New Roman" w:hAnsi="Times New Roman"/>
                <w:sz w:val="28"/>
                <w:szCs w:val="28"/>
              </w:rPr>
              <w:t>00 гривень (на період випробування зазначена надбавка встановлюється в розмірі 50 відсотків)</w:t>
            </w:r>
          </w:p>
        </w:tc>
      </w:tr>
      <w:tr w:rsidR="00AF252D" w:rsidRPr="00AF252D" w14:paraId="40C9C8E7" w14:textId="77777777" w:rsidTr="00045918">
        <w:tc>
          <w:tcPr>
            <w:tcW w:w="4531" w:type="dxa"/>
            <w:gridSpan w:val="2"/>
          </w:tcPr>
          <w:p w14:paraId="0C2C7C6A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5097" w:type="dxa"/>
          </w:tcPr>
          <w:p w14:paraId="21AD9FD0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D8B5F9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AF252D" w:rsidRPr="00AF252D" w14:paraId="5AF25AB9" w14:textId="77777777" w:rsidTr="00045918">
        <w:tc>
          <w:tcPr>
            <w:tcW w:w="4531" w:type="dxa"/>
            <w:gridSpan w:val="2"/>
          </w:tcPr>
          <w:p w14:paraId="182D2FA5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097" w:type="dxa"/>
          </w:tcPr>
          <w:p w14:paraId="18898BBC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1) заява;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C26703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2) резюме довільної форми або резюме за формою згідно з додатком 2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Порядку проведення конкурсу на зайняття посад державної служби,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затвердженого постановою КМУ від 25 березня 2016 року № 246;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FF6D561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3) заповнена особова картка встановленого зразка, затверджена наказом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Національного агентства України з питань державної служби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 травня 2020 року № 77-20;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B64A450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4) документи, що підтверджують наявність громадянства України;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5) документи, що підтверджують освіту та досвід роботи.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003BC6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1E2F0" w14:textId="77777777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Документи подаються:</w:t>
            </w:r>
          </w:p>
          <w:p w14:paraId="6641C04F" w14:textId="77777777" w:rsidR="00045918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на електронну пошту</w:t>
            </w:r>
          </w:p>
          <w:p w14:paraId="59DD5B30" w14:textId="3ED63B4D" w:rsidR="00AA4727" w:rsidRPr="00AF252D" w:rsidRDefault="00487F64" w:rsidP="00AA4727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r w:rsidR="00045918" w:rsidRPr="00AF25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AA4727" w:rsidRPr="00AF252D" w:rsidRDefault="00AA4727" w:rsidP="00AA4727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DC007A6" w14:textId="7844E7B6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Строк подання документів: 2 календарні дні до 17 год. 00 хв.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5BE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червня 2022 року</w:t>
            </w:r>
          </w:p>
        </w:tc>
      </w:tr>
      <w:tr w:rsidR="00AF252D" w:rsidRPr="00AF252D" w14:paraId="5246B7B8" w14:textId="77777777" w:rsidTr="00045918">
        <w:tc>
          <w:tcPr>
            <w:tcW w:w="4531" w:type="dxa"/>
            <w:gridSpan w:val="2"/>
          </w:tcPr>
          <w:p w14:paraId="1E8F48DF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або спосіб проведення співбесіди з  керівниками</w:t>
            </w:r>
          </w:p>
        </w:tc>
        <w:tc>
          <w:tcPr>
            <w:tcW w:w="5097" w:type="dxa"/>
          </w:tcPr>
          <w:p w14:paraId="79EB486F" w14:textId="792F311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співбесіди дистанційно. Платформа ZOOM</w:t>
            </w:r>
          </w:p>
        </w:tc>
      </w:tr>
      <w:tr w:rsidR="00AF252D" w:rsidRPr="00AF252D" w14:paraId="54ABD240" w14:textId="77777777" w:rsidTr="00045918">
        <w:tc>
          <w:tcPr>
            <w:tcW w:w="4531" w:type="dxa"/>
            <w:gridSpan w:val="2"/>
          </w:tcPr>
          <w:p w14:paraId="7E02EF2C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5" w:right="-31"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5097" w:type="dxa"/>
          </w:tcPr>
          <w:p w14:paraId="17335A71" w14:textId="77777777" w:rsidR="00655BEF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Бражевська</w:t>
            </w:r>
            <w:proofErr w:type="spellEnd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 w:rsidR="00045918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Леонідівна</w:t>
            </w:r>
          </w:p>
          <w:p w14:paraId="2BE326D5" w14:textId="0A1677B7" w:rsidR="00AA4727" w:rsidRPr="00AF252D" w:rsidRDefault="00655BEF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.(063)-227-12-15</w:t>
            </w:r>
            <w:r w:rsidR="00AA4727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44557FE3" w14:textId="55CF57F8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0E6EB3EB" w14:textId="7F1EF96C" w:rsidR="00045918" w:rsidRPr="00AF252D" w:rsidRDefault="00045918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.(063)227-10-55</w:t>
            </w:r>
          </w:p>
          <w:p w14:paraId="044E8E0A" w14:textId="1F17FE62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: career@mva.gov.ua</w:t>
            </w:r>
          </w:p>
        </w:tc>
      </w:tr>
      <w:tr w:rsidR="00AF252D" w:rsidRPr="00AF252D" w14:paraId="49A19685" w14:textId="77777777" w:rsidTr="0029748A">
        <w:tc>
          <w:tcPr>
            <w:tcW w:w="9628" w:type="dxa"/>
            <w:gridSpan w:val="3"/>
          </w:tcPr>
          <w:p w14:paraId="5EADB910" w14:textId="77777777" w:rsidR="00AA4727" w:rsidRPr="00AF252D" w:rsidRDefault="00AA4727" w:rsidP="00AA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AF252D" w:rsidRPr="00AF252D" w14:paraId="35D99683" w14:textId="77777777" w:rsidTr="00045918">
        <w:tc>
          <w:tcPr>
            <w:tcW w:w="4531" w:type="dxa"/>
            <w:gridSpan w:val="2"/>
          </w:tcPr>
          <w:p w14:paraId="571841E2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097" w:type="dxa"/>
            <w:vAlign w:val="center"/>
          </w:tcPr>
          <w:p w14:paraId="58A46593" w14:textId="3EC65BA7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вищої освіти – не нижче бакалавра або молодшого бакалавра у галузі знань “Управління та адміністрування”.</w:t>
            </w:r>
          </w:p>
        </w:tc>
      </w:tr>
      <w:tr w:rsidR="00AF252D" w:rsidRPr="00AF252D" w14:paraId="0AC56286" w14:textId="77777777" w:rsidTr="00045918">
        <w:tc>
          <w:tcPr>
            <w:tcW w:w="4531" w:type="dxa"/>
            <w:gridSpan w:val="2"/>
          </w:tcPr>
          <w:p w14:paraId="776FFED2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5097" w:type="dxa"/>
            <w:vAlign w:val="center"/>
          </w:tcPr>
          <w:p w14:paraId="1E8FB953" w14:textId="34EA189A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AF252D" w:rsidRPr="00AF252D" w14:paraId="05521984" w14:textId="77777777" w:rsidTr="00045918">
        <w:tc>
          <w:tcPr>
            <w:tcW w:w="4531" w:type="dxa"/>
            <w:gridSpan w:val="2"/>
          </w:tcPr>
          <w:p w14:paraId="51615917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5097" w:type="dxa"/>
            <w:vAlign w:val="center"/>
          </w:tcPr>
          <w:p w14:paraId="13BE92D5" w14:textId="77777777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  <w:p w14:paraId="1113A26A" w14:textId="2439BECD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Особи, які претендують на зайняття посади державної служби</w:t>
            </w:r>
            <w:r w:rsidR="00045918"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AA4727" w:rsidRPr="00AF252D" w:rsidRDefault="00AA4727" w:rsidP="00AA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52D" w:rsidRPr="00AF252D" w14:paraId="5F73945B" w14:textId="77777777" w:rsidTr="00045918">
        <w:tc>
          <w:tcPr>
            <w:tcW w:w="4531" w:type="dxa"/>
            <w:gridSpan w:val="2"/>
          </w:tcPr>
          <w:p w14:paraId="39A97DD9" w14:textId="77777777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 іноземною  мовою</w:t>
            </w:r>
          </w:p>
        </w:tc>
        <w:tc>
          <w:tcPr>
            <w:tcW w:w="5097" w:type="dxa"/>
          </w:tcPr>
          <w:p w14:paraId="364DBDB5" w14:textId="0F86FFB5" w:rsidR="00AA4727" w:rsidRPr="00AF252D" w:rsidRDefault="00AA4727" w:rsidP="00AA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потребує</w:t>
            </w:r>
          </w:p>
        </w:tc>
      </w:tr>
      <w:tr w:rsidR="00AF252D" w:rsidRPr="00AF252D" w14:paraId="15CED6FF" w14:textId="77777777" w:rsidTr="0029748A">
        <w:tc>
          <w:tcPr>
            <w:tcW w:w="9628" w:type="dxa"/>
            <w:gridSpan w:val="3"/>
          </w:tcPr>
          <w:p w14:paraId="700F4B76" w14:textId="7777777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вимоги до професійної компетентності (зазначаються за потреби)</w:t>
            </w:r>
          </w:p>
        </w:tc>
      </w:tr>
      <w:tr w:rsidR="00AF252D" w:rsidRPr="00AF252D" w14:paraId="44E49DBC" w14:textId="77777777" w:rsidTr="0029748A">
        <w:tc>
          <w:tcPr>
            <w:tcW w:w="9628" w:type="dxa"/>
            <w:gridSpan w:val="3"/>
          </w:tcPr>
          <w:p w14:paraId="3D962A61" w14:textId="1231644C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Вимога</w:t>
            </w:r>
          </w:p>
        </w:tc>
      </w:tr>
      <w:tr w:rsidR="00AF252D" w:rsidRPr="00AF252D" w14:paraId="3BFADD4C" w14:textId="77777777" w:rsidTr="00045918">
        <w:tc>
          <w:tcPr>
            <w:tcW w:w="4531" w:type="dxa"/>
            <w:gridSpan w:val="2"/>
          </w:tcPr>
          <w:p w14:paraId="4401202C" w14:textId="5E89392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5097" w:type="dxa"/>
          </w:tcPr>
          <w:p w14:paraId="6CEC3003" w14:textId="51626BCD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AF252D" w:rsidRPr="00AF252D" w14:paraId="6763BDA7" w14:textId="77777777" w:rsidTr="00045918">
        <w:tc>
          <w:tcPr>
            <w:tcW w:w="426" w:type="dxa"/>
          </w:tcPr>
          <w:p w14:paraId="22D5B781" w14:textId="3DEC5EE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14:paraId="7BED9C83" w14:textId="56B266AC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2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Концептуальне</w:t>
            </w:r>
            <w:proofErr w:type="spellEnd"/>
            <w:r w:rsidRPr="00AF2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F2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інноваційне</w:t>
            </w:r>
            <w:proofErr w:type="spellEnd"/>
            <w:r w:rsidRPr="00AF2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2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</w:p>
        </w:tc>
        <w:tc>
          <w:tcPr>
            <w:tcW w:w="5097" w:type="dxa"/>
          </w:tcPr>
          <w:p w14:paraId="18049803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03487426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D9C8D1B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16AC065" w14:textId="49DDFA3C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(оформлення) пропозицій та рішень.</w:t>
            </w:r>
          </w:p>
        </w:tc>
      </w:tr>
      <w:tr w:rsidR="00AF252D" w:rsidRPr="00AF252D" w14:paraId="5A0F967A" w14:textId="77777777" w:rsidTr="00045918">
        <w:tc>
          <w:tcPr>
            <w:tcW w:w="426" w:type="dxa"/>
          </w:tcPr>
          <w:p w14:paraId="792AD73C" w14:textId="61C29B50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14:paraId="7B9006A3" w14:textId="177A9CA6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097" w:type="dxa"/>
          </w:tcPr>
          <w:p w14:paraId="63EB6F23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5A137E6F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5F5BA681" w14:textId="38E657AB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здатність робити коректні висновки.</w:t>
            </w:r>
          </w:p>
        </w:tc>
      </w:tr>
      <w:tr w:rsidR="00AF252D" w:rsidRPr="00AF252D" w14:paraId="601B9AAA" w14:textId="77777777" w:rsidTr="00045918">
        <w:tc>
          <w:tcPr>
            <w:tcW w:w="426" w:type="dxa"/>
          </w:tcPr>
          <w:p w14:paraId="58B9D7C4" w14:textId="6EAE798F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14:paraId="6C975DA1" w14:textId="51BE3878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097" w:type="dxa"/>
          </w:tcPr>
          <w:p w14:paraId="7180ABE3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704F1009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24270AC1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8D44DBB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05EFEB1E" w14:textId="53B6BA93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відповідальність за виконання своїх задач.</w:t>
            </w:r>
          </w:p>
        </w:tc>
      </w:tr>
      <w:tr w:rsidR="00AF252D" w:rsidRPr="00AF252D" w14:paraId="01BC7F9A" w14:textId="77777777" w:rsidTr="00045918">
        <w:tc>
          <w:tcPr>
            <w:tcW w:w="426" w:type="dxa"/>
          </w:tcPr>
          <w:p w14:paraId="3D8168D9" w14:textId="1B280516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14:paraId="28A00F98" w14:textId="0F503C6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097" w:type="dxa"/>
          </w:tcPr>
          <w:p w14:paraId="265FE8A5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вміння дослухатися до думки;</w:t>
            </w:r>
          </w:p>
          <w:p w14:paraId="486CB903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вміння викладати свою думку, чітко висловлюватися (усно та письмово), переконувати;</w:t>
            </w:r>
          </w:p>
          <w:p w14:paraId="1F830DFE" w14:textId="0E029557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вміння виступати перед аудиторією.</w:t>
            </w:r>
          </w:p>
        </w:tc>
      </w:tr>
      <w:tr w:rsidR="00AF252D" w:rsidRPr="00AF252D" w14:paraId="749977F6" w14:textId="77777777" w:rsidTr="00045918">
        <w:tc>
          <w:tcPr>
            <w:tcW w:w="426" w:type="dxa"/>
          </w:tcPr>
          <w:p w14:paraId="3112EDEC" w14:textId="08BD1D7F" w:rsidR="00AA4727" w:rsidRPr="00AF252D" w:rsidRDefault="00AA4727" w:rsidP="0065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14:paraId="3E3E34B3" w14:textId="5788686C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097" w:type="dxa"/>
          </w:tcPr>
          <w:p w14:paraId="4C210892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2A52B71C" w14:textId="77777777" w:rsidR="00AA4727" w:rsidRPr="00AF252D" w:rsidRDefault="00AA4727" w:rsidP="00AA472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378992E" w14:textId="4247807E" w:rsidR="00AA4727" w:rsidRPr="00AF252D" w:rsidRDefault="00AA4727" w:rsidP="00AA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2D">
              <w:rPr>
                <w:rFonts w:ascii="Times New Roman" w:hAnsi="Times New Roman" w:cs="Times New Roman"/>
                <w:sz w:val="28"/>
                <w:szCs w:val="28"/>
              </w:rPr>
              <w:t>- оптимізм.</w:t>
            </w:r>
          </w:p>
        </w:tc>
      </w:tr>
    </w:tbl>
    <w:p w14:paraId="473FCCFA" w14:textId="77777777" w:rsidR="00635AA7" w:rsidRPr="00AF252D" w:rsidRDefault="00635AA7">
      <w:pPr>
        <w:rPr>
          <w:rFonts w:ascii="Times New Roman" w:hAnsi="Times New Roman" w:cs="Times New Roman"/>
          <w:sz w:val="28"/>
          <w:szCs w:val="28"/>
        </w:rPr>
      </w:pPr>
    </w:p>
    <w:sectPr w:rsidR="00635AA7" w:rsidRPr="00AF252D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Century Gothic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8570931">
    <w:abstractNumId w:val="1"/>
  </w:num>
  <w:num w:numId="2" w16cid:durableId="73355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5918"/>
    <w:rsid w:val="000462B8"/>
    <w:rsid w:val="00124CE6"/>
    <w:rsid w:val="00160492"/>
    <w:rsid w:val="00174AAC"/>
    <w:rsid w:val="001F64FD"/>
    <w:rsid w:val="0029748A"/>
    <w:rsid w:val="002A389F"/>
    <w:rsid w:val="002C7B03"/>
    <w:rsid w:val="00487F64"/>
    <w:rsid w:val="004F6A7C"/>
    <w:rsid w:val="00545E2B"/>
    <w:rsid w:val="00566BD7"/>
    <w:rsid w:val="00635AA7"/>
    <w:rsid w:val="00655BEF"/>
    <w:rsid w:val="00662777"/>
    <w:rsid w:val="00831190"/>
    <w:rsid w:val="00A22F87"/>
    <w:rsid w:val="00A3390B"/>
    <w:rsid w:val="00AA4727"/>
    <w:rsid w:val="00AF252D"/>
    <w:rsid w:val="00B550F8"/>
    <w:rsid w:val="00B80237"/>
    <w:rsid w:val="00C1564B"/>
    <w:rsid w:val="00C66D3F"/>
    <w:rsid w:val="00D241F0"/>
    <w:rsid w:val="00EF195F"/>
    <w:rsid w:val="00FD7E0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character" w:styleId="ad">
    <w:name w:val="Unresolved Mention"/>
    <w:basedOn w:val="a3"/>
    <w:uiPriority w:val="99"/>
    <w:semiHidden/>
    <w:unhideWhenUsed/>
    <w:rsid w:val="0004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EF0C-A755-4FAB-89A3-E0CF0DD8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Галина Олександрівна</cp:lastModifiedBy>
  <cp:revision>10</cp:revision>
  <dcterms:created xsi:type="dcterms:W3CDTF">2022-06-06T12:12:00Z</dcterms:created>
  <dcterms:modified xsi:type="dcterms:W3CDTF">2022-06-07T11:31:00Z</dcterms:modified>
</cp:coreProperties>
</file>