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64F3" w14:textId="77777777" w:rsidR="001C09A7" w:rsidRDefault="001C09A7" w:rsidP="001C09A7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2D7A72A7" w14:textId="77777777" w:rsidR="001C09A7" w:rsidRDefault="001C09A7" w:rsidP="001C09A7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Міністерства у справах ветеранів України</w:t>
      </w:r>
    </w:p>
    <w:p w14:paraId="4D8D493C" w14:textId="6532E9D9" w:rsidR="001C09A7" w:rsidRDefault="00E80A9C" w:rsidP="001C09A7">
      <w:pPr>
        <w:ind w:left="5245" w:right="-1"/>
        <w:rPr>
          <w:rStyle w:val="spelle"/>
        </w:rPr>
      </w:pPr>
      <w:r>
        <w:rPr>
          <w:sz w:val="28"/>
          <w:szCs w:val="28"/>
        </w:rPr>
        <w:t>11.11.2021 р.</w:t>
      </w:r>
      <w:r w:rsidR="001C09A7">
        <w:rPr>
          <w:sz w:val="28"/>
          <w:szCs w:val="28"/>
        </w:rPr>
        <w:t xml:space="preserve"> № </w:t>
      </w:r>
      <w:r>
        <w:rPr>
          <w:sz w:val="28"/>
          <w:szCs w:val="28"/>
        </w:rPr>
        <w:t>947</w:t>
      </w:r>
    </w:p>
    <w:p w14:paraId="27E7A517" w14:textId="77777777" w:rsidR="00BE1B5D" w:rsidRPr="001C09A7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CB51D59" w14:textId="2BA2E0CF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D24D14">
        <w:rPr>
          <w:sz w:val="28"/>
          <w:szCs w:val="28"/>
          <w:lang w:val="ru-RU"/>
        </w:rPr>
        <w:t>Київській</w:t>
      </w:r>
      <w:r w:rsidR="00A56205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42941670" w14:textId="028E7CAF" w:rsidR="00E26297" w:rsidRPr="00133783" w:rsidRDefault="00133783" w:rsidP="00CF12B7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1. Очолює та здійснює керівництво діяльністю Відділу, розподіляє обов’язки між працівниками та контролює їх роботу.</w:t>
            </w:r>
          </w:p>
          <w:p w14:paraId="288BAE78" w14:textId="3EA40C29" w:rsidR="00133783" w:rsidRPr="00133783" w:rsidRDefault="00133783" w:rsidP="00133783">
            <w:pPr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 xml:space="preserve">       2. Забезпечує на території області виконання покладених на Відділ завдань щодо:</w:t>
            </w:r>
          </w:p>
          <w:p w14:paraId="11B0EBF7" w14:textId="77777777" w:rsidR="00133783" w:rsidRPr="00133783" w:rsidRDefault="00133783" w:rsidP="00133783">
            <w:pPr>
              <w:tabs>
                <w:tab w:val="left" w:pos="-525"/>
                <w:tab w:val="left" w:pos="1460"/>
              </w:tabs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соціального захисту ветеранів та членів їх сімей,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послуг;</w:t>
            </w:r>
          </w:p>
          <w:p w14:paraId="4B592950" w14:textId="77777777" w:rsidR="00133783" w:rsidRPr="00133783" w:rsidRDefault="00133783" w:rsidP="00133783">
            <w:pPr>
              <w:tabs>
                <w:tab w:val="left" w:pos="-525"/>
                <w:tab w:val="left" w:pos="-99"/>
              </w:tabs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збереження психічного здоров’я ветеранів та членів їх сімей;</w:t>
            </w:r>
          </w:p>
          <w:p w14:paraId="3692BFF3" w14:textId="77777777" w:rsidR="00133783" w:rsidRPr="00133783" w:rsidRDefault="00133783" w:rsidP="00133783">
            <w:pPr>
              <w:tabs>
                <w:tab w:val="left" w:pos="-525"/>
                <w:tab w:val="left" w:pos="-383"/>
                <w:tab w:val="left" w:pos="42"/>
              </w:tabs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вшанування пам’яті ветеранів;</w:t>
            </w:r>
          </w:p>
          <w:p w14:paraId="2895AA00" w14:textId="77777777" w:rsidR="00133783" w:rsidRPr="00133783" w:rsidRDefault="00133783" w:rsidP="00133783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прав і свобод ветеранів та членів їх сімей.</w:t>
            </w:r>
          </w:p>
          <w:p w14:paraId="596E0863" w14:textId="77777777" w:rsidR="00133783" w:rsidRPr="00133783" w:rsidRDefault="00133783" w:rsidP="00133783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3. 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Мінветеранів.</w:t>
            </w:r>
          </w:p>
          <w:p w14:paraId="3244DB10" w14:textId="454390A3" w:rsidR="00133783" w:rsidRPr="00133783" w:rsidRDefault="00133783" w:rsidP="001337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3783">
              <w:rPr>
                <w:color w:val="000000"/>
                <w:sz w:val="28"/>
                <w:szCs w:val="28"/>
              </w:rPr>
              <w:t xml:space="preserve">      4. Сприяє</w:t>
            </w:r>
            <w:r w:rsidRPr="00133783">
              <w:rPr>
                <w:sz w:val="28"/>
                <w:szCs w:val="28"/>
              </w:rPr>
              <w:t xml:space="preserve"> на території області</w:t>
            </w:r>
            <w:r w:rsidRPr="00133783">
              <w:rPr>
                <w:color w:val="000000"/>
                <w:sz w:val="28"/>
                <w:szCs w:val="28"/>
              </w:rPr>
              <w:t>:</w:t>
            </w:r>
          </w:p>
          <w:p w14:paraId="1694B853" w14:textId="77777777" w:rsidR="00133783" w:rsidRPr="00133783" w:rsidRDefault="00133783" w:rsidP="001337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33783">
              <w:rPr>
                <w:color w:val="000000"/>
                <w:sz w:val="28"/>
                <w:szCs w:val="28"/>
              </w:rPr>
              <w:t>- популяризації та забезпеченню формування позитивного образу ветерана;</w:t>
            </w:r>
          </w:p>
          <w:p w14:paraId="256C0146" w14:textId="77777777" w:rsidR="00133783" w:rsidRPr="00133783" w:rsidRDefault="00133783" w:rsidP="001337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 w:rsidRPr="00133783">
              <w:rPr>
                <w:color w:val="000000"/>
                <w:sz w:val="28"/>
                <w:szCs w:val="28"/>
              </w:rPr>
              <w:t>-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0EC219EC" w14:textId="40AE933E" w:rsidR="00133783" w:rsidRPr="00133783" w:rsidRDefault="00133783" w:rsidP="00133783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bookmarkStart w:id="3" w:name="n200"/>
            <w:bookmarkEnd w:id="3"/>
            <w:r w:rsidRPr="00133783">
              <w:rPr>
                <w:color w:val="000000"/>
                <w:sz w:val="28"/>
                <w:szCs w:val="28"/>
              </w:rPr>
              <w:t>- залучення ветеранів до національно-патріотичного (зокрема військово-патріотичного) виховання дітей та молоді</w:t>
            </w:r>
            <w:bookmarkStart w:id="4" w:name="n201"/>
            <w:bookmarkStart w:id="5" w:name="n202"/>
            <w:bookmarkStart w:id="6" w:name="n204"/>
            <w:bookmarkStart w:id="7" w:name="n205"/>
            <w:bookmarkEnd w:id="4"/>
            <w:bookmarkEnd w:id="5"/>
            <w:bookmarkEnd w:id="6"/>
            <w:bookmarkEnd w:id="7"/>
            <w:r w:rsidRPr="00133783">
              <w:rPr>
                <w:color w:val="000000"/>
                <w:sz w:val="28"/>
                <w:szCs w:val="28"/>
              </w:rPr>
              <w:t>.</w:t>
            </w:r>
          </w:p>
          <w:p w14:paraId="36FD6DDE" w14:textId="210BEBC1" w:rsidR="00133783" w:rsidRPr="00133783" w:rsidRDefault="00133783" w:rsidP="00133783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color w:val="000000"/>
                <w:sz w:val="28"/>
                <w:szCs w:val="28"/>
              </w:rPr>
            </w:pPr>
            <w:r w:rsidRPr="00133783">
              <w:rPr>
                <w:color w:val="000000"/>
                <w:sz w:val="28"/>
                <w:szCs w:val="28"/>
              </w:rPr>
              <w:t>5. Проводить моніторинг</w:t>
            </w:r>
            <w:bookmarkStart w:id="8" w:name="n220"/>
            <w:bookmarkStart w:id="9" w:name="n221"/>
            <w:bookmarkEnd w:id="8"/>
            <w:bookmarkEnd w:id="9"/>
            <w:r w:rsidRPr="00133783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та соціальної адаптації ветеранів та членів </w:t>
            </w:r>
            <w:r w:rsidRPr="00133783">
              <w:rPr>
                <w:color w:val="000000"/>
                <w:sz w:val="28"/>
                <w:szCs w:val="28"/>
              </w:rPr>
              <w:lastRenderedPageBreak/>
              <w:t>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0" w:name="n222"/>
            <w:bookmarkEnd w:id="10"/>
            <w:r w:rsidRPr="00133783">
              <w:rPr>
                <w:color w:val="000000"/>
                <w:sz w:val="28"/>
                <w:szCs w:val="28"/>
              </w:rPr>
              <w:t>.</w:t>
            </w:r>
          </w:p>
          <w:p w14:paraId="3492E75C" w14:textId="22C73279" w:rsidR="00133783" w:rsidRPr="00133783" w:rsidRDefault="00133783" w:rsidP="00171928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33783">
              <w:rPr>
                <w:color w:val="000000"/>
                <w:sz w:val="28"/>
                <w:szCs w:val="28"/>
              </w:rPr>
              <w:t>6.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8F9E03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133783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0395BED9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</w:t>
            </w:r>
            <w:r w:rsidR="00171928">
              <w:rPr>
                <w:sz w:val="28"/>
                <w:szCs w:val="28"/>
              </w:rPr>
              <w:t>зі</w:t>
            </w:r>
            <w:r>
              <w:rPr>
                <w:sz w:val="28"/>
                <w:szCs w:val="28"/>
              </w:rPr>
              <w:t xml:space="preserve">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787651">
              <w:rPr>
                <w:sz w:val="28"/>
                <w:szCs w:val="28"/>
              </w:rPr>
              <w:t xml:space="preserve"> (далі – Порядок)</w:t>
            </w:r>
            <w:r w:rsidRPr="00787651">
              <w:rPr>
                <w:sz w:val="28"/>
                <w:szCs w:val="28"/>
              </w:rPr>
              <w:t>.</w:t>
            </w:r>
          </w:p>
          <w:p w14:paraId="4D7D2577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7CFD75E" w:rsidR="00061316" w:rsidRPr="00787651" w:rsidRDefault="00061316" w:rsidP="0013378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787651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787651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0B6F999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</w:t>
            </w:r>
            <w:r w:rsidRPr="00787651">
              <w:rPr>
                <w:sz w:val="28"/>
                <w:szCs w:val="28"/>
              </w:rPr>
              <w:lastRenderedPageBreak/>
              <w:t xml:space="preserve">перевірки та на оприлюднення відомостей стосовно неї відповідно до зазначеного Закону. </w:t>
            </w:r>
          </w:p>
          <w:p w14:paraId="46922F9C" w14:textId="60AD3151" w:rsidR="00045FDC" w:rsidRDefault="00045FDC" w:rsidP="00171928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6F49CDDC" w14:textId="77777777" w:rsidR="00171928" w:rsidRPr="00171928" w:rsidRDefault="00171928" w:rsidP="00171928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18"/>
                <w:szCs w:val="18"/>
              </w:rPr>
            </w:pPr>
          </w:p>
          <w:p w14:paraId="67AC4E7A" w14:textId="35C0712D" w:rsidR="00595D0A" w:rsidRDefault="00133783" w:rsidP="00595D0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</w:t>
            </w:r>
            <w:r w:rsidR="00595D0A">
              <w:rPr>
                <w:sz w:val="28"/>
                <w:szCs w:val="28"/>
              </w:rPr>
              <w:t xml:space="preserve">Відповідно до пункту 3¹ до Порядку </w:t>
            </w:r>
            <w:r w:rsidR="00595D0A">
              <w:rPr>
                <w:sz w:val="28"/>
                <w:szCs w:val="28"/>
                <w:lang w:eastAsia="ru-RU"/>
              </w:rPr>
              <w:t>копі</w:t>
            </w:r>
            <w:r w:rsidR="00171928">
              <w:rPr>
                <w:sz w:val="28"/>
                <w:szCs w:val="28"/>
                <w:lang w:eastAsia="ru-RU"/>
              </w:rPr>
              <w:t>я</w:t>
            </w:r>
            <w:r w:rsidR="00595D0A">
              <w:rPr>
                <w:sz w:val="28"/>
                <w:szCs w:val="28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1634AD6" w14:textId="77777777" w:rsidR="00061316" w:rsidRPr="00787651" w:rsidRDefault="00061316" w:rsidP="00171928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787651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41418EAB" w:rsidR="0003337E" w:rsidRPr="001456C4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Інформація, необхідна для уча</w:t>
            </w:r>
            <w:r w:rsidR="008153BA" w:rsidRPr="001456C4">
              <w:rPr>
                <w:sz w:val="28"/>
                <w:szCs w:val="28"/>
              </w:rPr>
              <w:t xml:space="preserve">сті в конкурсі приймається до </w:t>
            </w:r>
            <w:r w:rsidR="001456C4" w:rsidRPr="001456C4">
              <w:rPr>
                <w:sz w:val="28"/>
                <w:szCs w:val="28"/>
              </w:rPr>
              <w:t>17</w:t>
            </w:r>
            <w:r w:rsidR="00E80A9C">
              <w:rPr>
                <w:sz w:val="28"/>
                <w:szCs w:val="28"/>
              </w:rPr>
              <w:t xml:space="preserve"> </w:t>
            </w:r>
            <w:r w:rsidR="008153BA" w:rsidRPr="001456C4">
              <w:rPr>
                <w:sz w:val="28"/>
                <w:szCs w:val="28"/>
              </w:rPr>
              <w:t xml:space="preserve">год. </w:t>
            </w:r>
            <w:r w:rsidR="00787651" w:rsidRPr="001456C4">
              <w:rPr>
                <w:sz w:val="28"/>
                <w:szCs w:val="28"/>
              </w:rPr>
              <w:t>00</w:t>
            </w:r>
            <w:r w:rsidRPr="001456C4">
              <w:rPr>
                <w:sz w:val="28"/>
                <w:szCs w:val="28"/>
              </w:rPr>
              <w:t xml:space="preserve"> хв. </w:t>
            </w:r>
            <w:r w:rsidR="001456C4" w:rsidRPr="001456C4">
              <w:rPr>
                <w:sz w:val="28"/>
                <w:szCs w:val="28"/>
              </w:rPr>
              <w:t>18</w:t>
            </w:r>
            <w:r w:rsidR="00787651" w:rsidRPr="001456C4">
              <w:rPr>
                <w:sz w:val="28"/>
                <w:szCs w:val="28"/>
              </w:rPr>
              <w:t xml:space="preserve"> </w:t>
            </w:r>
            <w:r w:rsidR="00C27EEB" w:rsidRPr="001456C4">
              <w:rPr>
                <w:sz w:val="28"/>
                <w:szCs w:val="28"/>
              </w:rPr>
              <w:t xml:space="preserve">листопада </w:t>
            </w:r>
            <w:r w:rsidR="008153BA" w:rsidRPr="001456C4">
              <w:rPr>
                <w:sz w:val="28"/>
                <w:szCs w:val="28"/>
              </w:rPr>
              <w:t>2021</w:t>
            </w:r>
            <w:r w:rsidRPr="001456C4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787651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787651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>
              <w:rPr>
                <w:sz w:val="28"/>
                <w:szCs w:val="28"/>
              </w:rPr>
              <w:lastRenderedPageBreak/>
              <w:t>комунікації дистанційно)</w:t>
            </w:r>
          </w:p>
        </w:tc>
        <w:tc>
          <w:tcPr>
            <w:tcW w:w="6626" w:type="dxa"/>
          </w:tcPr>
          <w:p w14:paraId="54B0FED0" w14:textId="5D8A131E" w:rsidR="008735EE" w:rsidRPr="00A5625F" w:rsidRDefault="008735EE" w:rsidP="008735EE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lastRenderedPageBreak/>
              <w:t xml:space="preserve">з 10:00 години </w:t>
            </w:r>
            <w:r w:rsidR="001456C4" w:rsidRPr="001456C4">
              <w:rPr>
                <w:sz w:val="28"/>
                <w:szCs w:val="28"/>
              </w:rPr>
              <w:t>22</w:t>
            </w:r>
            <w:r w:rsidRPr="001456C4">
              <w:rPr>
                <w:sz w:val="28"/>
                <w:szCs w:val="28"/>
              </w:rPr>
              <w:t xml:space="preserve"> </w:t>
            </w:r>
            <w:r w:rsidR="00C27EEB" w:rsidRPr="001456C4">
              <w:rPr>
                <w:sz w:val="28"/>
                <w:szCs w:val="28"/>
              </w:rPr>
              <w:t xml:space="preserve">листопада </w:t>
            </w:r>
            <w:r w:rsidRPr="001456C4">
              <w:rPr>
                <w:sz w:val="28"/>
                <w:szCs w:val="28"/>
              </w:rPr>
              <w:t>2021 року</w:t>
            </w:r>
            <w:r w:rsidRPr="00A5625F">
              <w:rPr>
                <w:sz w:val="28"/>
                <w:szCs w:val="28"/>
              </w:rPr>
              <w:t xml:space="preserve"> </w:t>
            </w:r>
          </w:p>
          <w:p w14:paraId="252C5020" w14:textId="77777777" w:rsidR="008735EE" w:rsidRPr="00A5625F" w:rsidRDefault="008735EE" w:rsidP="008735EE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A5625F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32BD3FEA" w14:textId="06A84215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78765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78765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4484D9B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F997CFB" w14:textId="77777777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4320DE" w:rsidRPr="001456C4" w14:paraId="7DEF4E97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16F3593" w14:textId="77777777" w:rsidR="004320DE" w:rsidRPr="001456C4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2670552" w14:textId="50604A63" w:rsidR="004320DE" w:rsidRPr="001456C4" w:rsidRDefault="00133783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Управління персоналом</w:t>
            </w:r>
          </w:p>
        </w:tc>
        <w:tc>
          <w:tcPr>
            <w:tcW w:w="6642" w:type="dxa"/>
            <w:gridSpan w:val="2"/>
            <w:vAlign w:val="center"/>
          </w:tcPr>
          <w:p w14:paraId="5D8978E2" w14:textId="4019F3B7" w:rsidR="004320DE" w:rsidRPr="001456C4" w:rsidRDefault="00133783" w:rsidP="00133783">
            <w:pPr>
              <w:pStyle w:val="rvps14"/>
              <w:spacing w:before="0" w:beforeAutospacing="0" w:after="0" w:afterAutospacing="0"/>
              <w:ind w:right="139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- делегування та управління результатами;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</w:t>
            </w:r>
            <w:r w:rsidRPr="001456C4">
              <w:rPr>
                <w:sz w:val="28"/>
                <w:szCs w:val="28"/>
                <w:lang w:eastAsia="ru-UA"/>
              </w:rPr>
              <w:t xml:space="preserve"> </w:t>
            </w:r>
            <w:r w:rsidRPr="001456C4">
              <w:rPr>
                <w:sz w:val="28"/>
                <w:szCs w:val="28"/>
                <w:lang w:val="ru-UA" w:eastAsia="ru-UA"/>
              </w:rPr>
              <w:t>управління мотивацією;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наставництво та розвиток талантів;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стимулювання командної роботи та співробітництва</w:t>
            </w:r>
          </w:p>
        </w:tc>
      </w:tr>
      <w:tr w:rsidR="002D0CE7" w:rsidRPr="001456C4" w14:paraId="512F64F5" w14:textId="77777777" w:rsidTr="000361EC">
        <w:trPr>
          <w:trHeight w:val="20"/>
        </w:trPr>
        <w:tc>
          <w:tcPr>
            <w:tcW w:w="362" w:type="dxa"/>
            <w:vAlign w:val="center"/>
          </w:tcPr>
          <w:p w14:paraId="60A6E48C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D9ACC10" w14:textId="43B60C30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Управління організацією роботи</w:t>
            </w:r>
          </w:p>
        </w:tc>
        <w:tc>
          <w:tcPr>
            <w:tcW w:w="6642" w:type="dxa"/>
            <w:gridSpan w:val="2"/>
          </w:tcPr>
          <w:p w14:paraId="36936FA9" w14:textId="4A9CD04F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- чітке бачення цілі;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ефективне управління ресурсами;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чітке планування реалізації;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ефективне формування та управління процесами</w:t>
            </w:r>
          </w:p>
        </w:tc>
      </w:tr>
      <w:tr w:rsidR="002D0CE7" w:rsidRPr="001456C4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81E95E" w14:textId="3E163E90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Концептуальне та інноваційне мислення</w:t>
            </w:r>
          </w:p>
        </w:tc>
        <w:tc>
          <w:tcPr>
            <w:tcW w:w="6642" w:type="dxa"/>
            <w:gridSpan w:val="2"/>
            <w:vAlign w:val="center"/>
          </w:tcPr>
          <w:p w14:paraId="5BE29A9B" w14:textId="57FBFEF2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1456C4">
              <w:rPr>
                <w:sz w:val="28"/>
                <w:szCs w:val="28"/>
                <w:lang w:val="ru-UA" w:eastAsia="ru-UA"/>
              </w:rPr>
              <w:t>здатність сприймати інформацію та мислити концептуально;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здатність формувати закінчені (оформлені) пропозиції;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здатність формувати нові/інноваційні ідеї та підходи;</w:t>
            </w:r>
            <w:r w:rsidRPr="001456C4">
              <w:rPr>
                <w:sz w:val="28"/>
                <w:szCs w:val="28"/>
                <w:lang w:val="ru-UA" w:eastAsia="ru-UA"/>
              </w:rPr>
              <w:br/>
            </w:r>
            <w:r w:rsidRPr="001456C4">
              <w:rPr>
                <w:sz w:val="28"/>
                <w:szCs w:val="28"/>
                <w:lang w:val="ru-UA" w:eastAsia="ru-UA"/>
              </w:rPr>
              <w:lastRenderedPageBreak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2D0CE7" w:rsidRPr="001456C4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0A754937" w14:textId="6E021F44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Комунікація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102FB053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lang w:val="ru-UA" w:eastAsia="ru-UA"/>
              </w:rPr>
              <w:t>вміння визначати заінтересовані і впливові сторони та розбудовувати партнерські відносини;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здатність ефективно взаємодіяти - дослухатися, сприймати та викладати думку;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вміння публічно виступати перед аудиторією;</w:t>
            </w:r>
            <w:r w:rsidRPr="001456C4">
              <w:rPr>
                <w:sz w:val="28"/>
                <w:szCs w:val="28"/>
                <w:lang w:val="ru-UA" w:eastAsia="ru-UA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2D0CE7" w:rsidRPr="001456C4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09CFC596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14:paraId="02DBC75D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1456C4">
              <w:rPr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2D0CE7" w:rsidRPr="001456C4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1456C4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2D0CE7" w:rsidRPr="001456C4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456C4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1456C4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2D0CE7" w:rsidRPr="001456C4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2D0CE7" w:rsidRPr="001456C4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6C4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2D0CE7" w:rsidRPr="001456C4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56C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2D0CE7" w:rsidRPr="001456C4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1456C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2D0CE7" w:rsidRPr="001456C4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2D0CE7" w:rsidRPr="001456C4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2D0CE7" w:rsidRPr="001456C4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456C4">
              <w:rPr>
                <w:sz w:val="28"/>
                <w:szCs w:val="28"/>
              </w:rPr>
              <w:t>законодавства,  що пов</w:t>
            </w:r>
            <w:r w:rsidRPr="001456C4">
              <w:rPr>
                <w:sz w:val="28"/>
                <w:szCs w:val="28"/>
                <w:lang w:val="ru-RU"/>
              </w:rPr>
              <w:t>’</w:t>
            </w:r>
            <w:r w:rsidRPr="001456C4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3FC1BFC6" w14:textId="17829CEF" w:rsidR="002D0CE7" w:rsidRPr="001456C4" w:rsidRDefault="00276599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 xml:space="preserve">- </w:t>
            </w:r>
            <w:r w:rsidR="002D0CE7" w:rsidRPr="001456C4">
              <w:rPr>
                <w:bCs/>
                <w:sz w:val="28"/>
                <w:szCs w:val="28"/>
              </w:rPr>
              <w:t>Закон України “Про звернення громадян”</w:t>
            </w:r>
          </w:p>
          <w:p w14:paraId="06E6DD02" w14:textId="1C171108" w:rsidR="002D0CE7" w:rsidRPr="001456C4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>- Закон України “Про статус ветеранів війни, гарантії їх соціального захисту”;</w:t>
            </w:r>
          </w:p>
          <w:p w14:paraId="61B9538A" w14:textId="57FCD0FE" w:rsidR="002D0CE7" w:rsidRPr="001456C4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>- Закон України “Про місцеве самоврядування”;</w:t>
            </w:r>
          </w:p>
          <w:p w14:paraId="1DC6CFB8" w14:textId="0985E04D" w:rsidR="002D0CE7" w:rsidRPr="001456C4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від 27</w:t>
            </w:r>
            <w:r w:rsidR="00C27EEB" w:rsidRPr="001456C4">
              <w:rPr>
                <w:bCs/>
                <w:sz w:val="28"/>
                <w:szCs w:val="28"/>
              </w:rPr>
              <w:t>.12.</w:t>
            </w:r>
            <w:r w:rsidRPr="001456C4">
              <w:rPr>
                <w:bCs/>
                <w:sz w:val="28"/>
                <w:szCs w:val="28"/>
              </w:rPr>
              <w:t>2018 р</w:t>
            </w:r>
            <w:r w:rsidR="00C27EEB" w:rsidRPr="001456C4">
              <w:rPr>
                <w:bCs/>
                <w:sz w:val="28"/>
                <w:szCs w:val="28"/>
              </w:rPr>
              <w:t>.</w:t>
            </w:r>
            <w:r w:rsidRPr="001456C4">
              <w:rPr>
                <w:bCs/>
                <w:sz w:val="28"/>
                <w:szCs w:val="28"/>
              </w:rPr>
              <w:t xml:space="preserve"> № 1175 (із змінами)</w:t>
            </w:r>
            <w:r w:rsidR="00276599" w:rsidRPr="001456C4">
              <w:rPr>
                <w:bCs/>
                <w:sz w:val="28"/>
                <w:szCs w:val="28"/>
              </w:rPr>
              <w:t>;</w:t>
            </w:r>
          </w:p>
          <w:p w14:paraId="6F1B7F9C" w14:textId="735B2B85" w:rsidR="002D0CE7" w:rsidRPr="001456C4" w:rsidRDefault="002D0CE7" w:rsidP="002D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 xml:space="preserve">- Постанова Кабінету Міністрів України № 280 </w:t>
            </w:r>
            <w:r w:rsidR="00C27EEB" w:rsidRPr="001456C4">
              <w:rPr>
                <w:bCs/>
                <w:sz w:val="28"/>
                <w:szCs w:val="28"/>
              </w:rPr>
              <w:t xml:space="preserve">              </w:t>
            </w:r>
            <w:r w:rsidRPr="001456C4">
              <w:rPr>
                <w:bCs/>
                <w:sz w:val="28"/>
                <w:szCs w:val="28"/>
              </w:rPr>
              <w:t>від 18.04.2018</w:t>
            </w:r>
            <w:r w:rsidR="00C27EEB" w:rsidRPr="001456C4">
              <w:rPr>
                <w:bCs/>
                <w:sz w:val="28"/>
                <w:szCs w:val="28"/>
              </w:rPr>
              <w:t xml:space="preserve"> </w:t>
            </w:r>
            <w:r w:rsidRPr="001456C4">
              <w:rPr>
                <w:bCs/>
                <w:sz w:val="28"/>
                <w:szCs w:val="28"/>
              </w:rPr>
              <w:t>р. “Питання забезпечення житлом внутрішньо переміщених осіб, які захищали незалежність, суверенітет та територіальну цілісність України”;</w:t>
            </w:r>
          </w:p>
          <w:p w14:paraId="0CFB859A" w14:textId="08CB2EF4" w:rsidR="002D0CE7" w:rsidRPr="001456C4" w:rsidRDefault="002D0CE7" w:rsidP="002D0CE7">
            <w:pPr>
              <w:pStyle w:val="Pa10"/>
              <w:spacing w:line="223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6C4">
              <w:rPr>
                <w:rFonts w:ascii="Times New Roman" w:hAnsi="Times New Roman"/>
                <w:bCs/>
                <w:sz w:val="28"/>
                <w:szCs w:val="28"/>
              </w:rPr>
              <w:t xml:space="preserve">- Постанова Кабінету Міністрів України № 719 </w:t>
            </w:r>
            <w:r w:rsidR="00C27EEB" w:rsidRPr="001456C4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1456C4">
              <w:rPr>
                <w:rFonts w:ascii="Times New Roman" w:hAnsi="Times New Roman"/>
                <w:bCs/>
                <w:sz w:val="28"/>
                <w:szCs w:val="28"/>
              </w:rPr>
              <w:t>від 19.10.2016 р. “Питання забезпечення житлом деяких категорій осіб, які захищали незалежність, суверенітет та територіальну цілісність України, а також членів їх сімей”;</w:t>
            </w:r>
          </w:p>
          <w:p w14:paraId="28411739" w14:textId="0D4EBBFC" w:rsidR="002D0CE7" w:rsidRPr="001456C4" w:rsidRDefault="002D0CE7" w:rsidP="002D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1456C4">
              <w:rPr>
                <w:bCs/>
                <w:sz w:val="28"/>
                <w:szCs w:val="28"/>
              </w:rPr>
              <w:t xml:space="preserve">- Постанова Кабінету Міністрів України № 585 </w:t>
            </w:r>
            <w:r w:rsidR="00C27EEB" w:rsidRPr="001456C4">
              <w:rPr>
                <w:bCs/>
                <w:sz w:val="28"/>
                <w:szCs w:val="28"/>
              </w:rPr>
              <w:t xml:space="preserve">             </w:t>
            </w:r>
            <w:r w:rsidRPr="001456C4">
              <w:rPr>
                <w:bCs/>
                <w:sz w:val="28"/>
                <w:szCs w:val="28"/>
              </w:rPr>
              <w:t>від 25.05.2011 р. “Про затвердження Порядку надання пільг інвалідам, членам їх сімей, законним представникам інвалідів (дітей-інвалідів), підприємствам, установам, організаціям громадських організацій інвалідів та сфери соціального захисту населення на безоплатне паркування і зберігання транспортних засобів”;</w:t>
            </w:r>
          </w:p>
          <w:p w14:paraId="10FCE33D" w14:textId="12C532E5" w:rsidR="002D0CE7" w:rsidRPr="001456C4" w:rsidRDefault="002D0CE7" w:rsidP="00C27EEB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456C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456C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Постанова Кабінету Міністрів України </w:t>
            </w:r>
            <w:r w:rsidR="00276599" w:rsidRPr="001456C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                      </w:t>
            </w:r>
            <w:r w:rsidRPr="001456C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від 12.05.1994 р. № 302 “Про затвердження Положення про порядок видачі посвідчень і нагрудних знаків ветеранів війни”.</w:t>
            </w:r>
          </w:p>
        </w:tc>
      </w:tr>
    </w:tbl>
    <w:p w14:paraId="160FA14E" w14:textId="77777777" w:rsidR="00814875" w:rsidRPr="001456C4" w:rsidRDefault="00814875" w:rsidP="00814875">
      <w:pPr>
        <w:rPr>
          <w:sz w:val="28"/>
          <w:szCs w:val="28"/>
        </w:rPr>
      </w:pPr>
    </w:p>
    <w:p w14:paraId="70ABEC59" w14:textId="77777777" w:rsidR="004B0952" w:rsidRPr="001456C4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1456C4" w:rsidRDefault="005129E7" w:rsidP="005129E7">
      <w:pPr>
        <w:tabs>
          <w:tab w:val="left" w:pos="6990"/>
        </w:tabs>
        <w:rPr>
          <w:sz w:val="28"/>
          <w:szCs w:val="28"/>
        </w:rPr>
      </w:pPr>
      <w:r w:rsidRPr="001456C4">
        <w:rPr>
          <w:sz w:val="28"/>
          <w:szCs w:val="28"/>
        </w:rPr>
        <w:tab/>
      </w:r>
    </w:p>
    <w:p w14:paraId="534D5359" w14:textId="77777777" w:rsidR="005129E7" w:rsidRPr="001456C4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1456C4" w:rsidRDefault="009F229A" w:rsidP="008C4848">
      <w:pPr>
        <w:spacing w:line="312" w:lineRule="auto"/>
        <w:jc w:val="both"/>
        <w:rPr>
          <w:sz w:val="28"/>
          <w:szCs w:val="28"/>
          <w:lang w:eastAsia="ru-RU"/>
        </w:rPr>
      </w:pPr>
    </w:p>
    <w:sectPr w:rsidR="009F229A" w:rsidRPr="001456C4" w:rsidSect="00FF15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F02C" w14:textId="77777777" w:rsidR="005E1D52" w:rsidRDefault="005E1D52" w:rsidP="00FF158D">
      <w:r>
        <w:separator/>
      </w:r>
    </w:p>
  </w:endnote>
  <w:endnote w:type="continuationSeparator" w:id="0">
    <w:p w14:paraId="47C2DE03" w14:textId="77777777" w:rsidR="005E1D52" w:rsidRDefault="005E1D52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82EE" w14:textId="77777777" w:rsidR="005E1D52" w:rsidRDefault="005E1D52" w:rsidP="00FF158D">
      <w:r>
        <w:separator/>
      </w:r>
    </w:p>
  </w:footnote>
  <w:footnote w:type="continuationSeparator" w:id="0">
    <w:p w14:paraId="7D8C9024" w14:textId="77777777" w:rsidR="005E1D52" w:rsidRDefault="005E1D52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128EB73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FDC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4418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3783"/>
    <w:rsid w:val="00134E30"/>
    <w:rsid w:val="00142491"/>
    <w:rsid w:val="001456C4"/>
    <w:rsid w:val="00145C88"/>
    <w:rsid w:val="00152F4B"/>
    <w:rsid w:val="001547EB"/>
    <w:rsid w:val="00156269"/>
    <w:rsid w:val="001565E8"/>
    <w:rsid w:val="00160026"/>
    <w:rsid w:val="0016059B"/>
    <w:rsid w:val="00171928"/>
    <w:rsid w:val="00177800"/>
    <w:rsid w:val="0019352A"/>
    <w:rsid w:val="001A2B7F"/>
    <w:rsid w:val="001A5940"/>
    <w:rsid w:val="001B36DB"/>
    <w:rsid w:val="001B4503"/>
    <w:rsid w:val="001B6E07"/>
    <w:rsid w:val="001C09A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599"/>
    <w:rsid w:val="00276AE7"/>
    <w:rsid w:val="00276B6A"/>
    <w:rsid w:val="002857A4"/>
    <w:rsid w:val="00287ED7"/>
    <w:rsid w:val="002A46EE"/>
    <w:rsid w:val="002B5262"/>
    <w:rsid w:val="002D0441"/>
    <w:rsid w:val="002D0CE7"/>
    <w:rsid w:val="002D0F84"/>
    <w:rsid w:val="002D1F2D"/>
    <w:rsid w:val="002D3259"/>
    <w:rsid w:val="002D579A"/>
    <w:rsid w:val="002E4F0B"/>
    <w:rsid w:val="002E73F5"/>
    <w:rsid w:val="002F5289"/>
    <w:rsid w:val="0031331C"/>
    <w:rsid w:val="003172B8"/>
    <w:rsid w:val="00323A31"/>
    <w:rsid w:val="0032465C"/>
    <w:rsid w:val="00332D8A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2DF5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3E45"/>
    <w:rsid w:val="005173EA"/>
    <w:rsid w:val="0052553E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95D0A"/>
    <w:rsid w:val="005A34F8"/>
    <w:rsid w:val="005A677D"/>
    <w:rsid w:val="005A7103"/>
    <w:rsid w:val="005C5F2A"/>
    <w:rsid w:val="005D3AD7"/>
    <w:rsid w:val="005E0FF2"/>
    <w:rsid w:val="005E1D5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341D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7B1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35EE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3511"/>
    <w:rsid w:val="008C4848"/>
    <w:rsid w:val="008D0012"/>
    <w:rsid w:val="008D60E4"/>
    <w:rsid w:val="008E0D39"/>
    <w:rsid w:val="008E5492"/>
    <w:rsid w:val="00904227"/>
    <w:rsid w:val="00907A05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30DA8"/>
    <w:rsid w:val="00A45852"/>
    <w:rsid w:val="00A56205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27EEB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D5B62"/>
    <w:rsid w:val="00CD7C01"/>
    <w:rsid w:val="00CF12B7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24D14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8CA"/>
    <w:rsid w:val="00DE7F47"/>
    <w:rsid w:val="00DF4121"/>
    <w:rsid w:val="00DF48E9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80A9C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4B25"/>
    <w:rsid w:val="00F774F5"/>
    <w:rsid w:val="00F77667"/>
    <w:rsid w:val="00F77E09"/>
    <w:rsid w:val="00F9238E"/>
    <w:rsid w:val="00F9748D"/>
    <w:rsid w:val="00FA1F2B"/>
    <w:rsid w:val="00FA5561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F158D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2D0CE7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8905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12</cp:revision>
  <cp:lastPrinted>2021-11-11T13:26:00Z</cp:lastPrinted>
  <dcterms:created xsi:type="dcterms:W3CDTF">2021-09-07T08:07:00Z</dcterms:created>
  <dcterms:modified xsi:type="dcterms:W3CDTF">2021-11-11T13:26:00Z</dcterms:modified>
</cp:coreProperties>
</file>