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0FF58969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1B758D">
        <w:rPr>
          <w:bCs/>
          <w:color w:val="303030"/>
          <w:sz w:val="22"/>
          <w:szCs w:val="22"/>
        </w:rPr>
        <w:t>1</w:t>
      </w:r>
    </w:p>
    <w:p w14:paraId="083633D7" w14:textId="77777777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61CF3163" w:rsidR="00635AA7" w:rsidRPr="003B3C22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3B3C22" w:rsidRPr="003B3C22">
        <w:rPr>
          <w:rStyle w:val="fontstyle01"/>
          <w:b w:val="0"/>
          <w:bCs w:val="0"/>
          <w:sz w:val="28"/>
          <w:szCs w:val="28"/>
        </w:rPr>
        <w:t xml:space="preserve">генерального директора </w:t>
      </w:r>
      <w:r w:rsidR="001B758D" w:rsidRPr="001B758D">
        <w:rPr>
          <w:sz w:val="28"/>
          <w:szCs w:val="28"/>
        </w:rPr>
        <w:t>Директорату реабілітації та медичного забезпечення</w:t>
      </w:r>
      <w:r w:rsidR="001B758D" w:rsidRPr="003B3C22">
        <w:rPr>
          <w:rStyle w:val="fontstyle01"/>
          <w:b w:val="0"/>
          <w:bCs w:val="0"/>
          <w:sz w:val="28"/>
          <w:szCs w:val="28"/>
        </w:rPr>
        <w:t xml:space="preserve"> </w:t>
      </w:r>
      <w:r w:rsidRPr="003B3C22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B3C22" w:rsidRDefault="00160492">
      <w:pPr>
        <w:rPr>
          <w:rStyle w:val="fontstyle01"/>
          <w:rFonts w:eastAsia="Times New Roman" w:cs="Times New Roman"/>
          <w:b w:val="0"/>
          <w:bCs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671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B705CA" w14:paraId="15A380A6" w14:textId="77777777" w:rsidTr="006951B5">
        <w:tc>
          <w:tcPr>
            <w:tcW w:w="4957" w:type="dxa"/>
            <w:gridSpan w:val="2"/>
          </w:tcPr>
          <w:p w14:paraId="59B64F65" w14:textId="77777777" w:rsidR="00B705CA" w:rsidRPr="001B758D" w:rsidRDefault="00B705CA" w:rsidP="00B705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671" w:type="dxa"/>
            <w:vAlign w:val="center"/>
          </w:tcPr>
          <w:p w14:paraId="316B13EF" w14:textId="77777777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Здійснює загальне керівництво діяльністю Директорату, організовує планування роботи, забезпечує виконання покладених на Директорат завдань і функцій у сфері у сфері психологічної допомоги ветеранам війни, членам їх сімей, членам сімей загиблих (померлих) таких осіб; санаторно-курортного лікування; сприяння реалізації права на отримання медичної допомоги; фізкультурно-спортивної реабілітації та розвитку спорту ветеранів.</w:t>
            </w:r>
          </w:p>
          <w:p w14:paraId="73E88629" w14:textId="77777777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Організовує роботу Директорату щодо формування (на основі постійного аналізу стану справ у сфері соціального захисту ветеранів війни та прирівняних до них осіб, членів їх сімей), державної політики, зокрема, з питань психологічної реабілітації, санаторно-курортного лікування, медичного забезпечення, фізкультурно-спортивної реабілітації та розвитку спорту ветеранів (далі – сфера компетенції Директорату); вироблення альтернативних варіантів розв’язання існуючих проблем; проведення моніторингу та оцінювання результатів реалізації державної політики у сфері компетенції 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Директорату розроблення пропозицій щодо її продовження та / або коригування; забезпечення нормативно-правового регулювання у сфері компетенції Директорату.</w:t>
            </w:r>
          </w:p>
          <w:p w14:paraId="3A6FBC48" w14:textId="77777777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Готує на розгляд керівництву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аналітичні матеріали, пропозиції щодо формування політики у сфері компетенції Директорату.</w:t>
            </w:r>
          </w:p>
          <w:p w14:paraId="6B96EF3E" w14:textId="77777777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консультації із заінтересованими сторонами з метою залучення їх до процесу формування державної політики у сфері компетенції Директорату, здійснює вивчення, узагальнення та врахування результатів таких консультацій під час аналізу стану справ у цих сферах та визначення альтернативних варіантів розв’язання існуючих проблем.</w:t>
            </w:r>
          </w:p>
          <w:p w14:paraId="18651C9B" w14:textId="5500A422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часть у межах компетенції у бюджетному процесі на рівні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з метою забезпечення ефективного використання бюджетних коштів, проведення фінансово-економічних розрахунків щодо обсягу фінансових і матеріальних витрат, необхідних для забезпечення формування та реалізації державної політики у сфері компетенції Директорату, визначення можливих витрат доходів або додаткових видатків державного бюджету.</w:t>
            </w:r>
          </w:p>
          <w:p w14:paraId="7A071C2E" w14:textId="4DA51CB3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часть у межах компетенції у процесі стратегічного планування, підготовці пропозицій до планів пріоритетних дій Уряду та планів діяльності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,  інформуванні громадськості 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щодо засад державної політики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у сфері компетенції Директорату.</w:t>
            </w:r>
          </w:p>
          <w:p w14:paraId="7DD1018D" w14:textId="0FA66369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ує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центрів соціально-психологічної реабілітації населення, що належать до сфери управління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356D57" w14:textId="1B1FB86B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 у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часть у проведенні нарад, зустрічей, консультацій в органах виконавчої влади, органах місцевого самоврядування при обговоренні питань, що належать до компетенції Директорату.</w:t>
            </w:r>
          </w:p>
          <w:p w14:paraId="5AB08AD4" w14:textId="77777777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За дорученням керівництва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представляє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виконавчої влади, органах місцевого самоврядування при обговоренні питань, що належать до компетенції Директорату.</w:t>
            </w:r>
          </w:p>
          <w:p w14:paraId="41CADA41" w14:textId="0468442D" w:rsidR="001B758D" w:rsidRPr="001B758D" w:rsidRDefault="001B758D" w:rsidP="001B758D">
            <w:pPr>
              <w:pStyle w:val="a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Визначає розподіл обов’язків між працівниками Директорату, здійснює координацію та контроль їх діяльності.</w:t>
            </w:r>
          </w:p>
          <w:p w14:paraId="4210B2AD" w14:textId="226B1126" w:rsidR="00B705CA" w:rsidRPr="001B758D" w:rsidRDefault="001B758D" w:rsidP="001B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11) Аналізує роботу Директорату, узагальнює результати його діяльності, забезпечує підготовку відповідних звітів, вживає заходів щодо усунення недоліків та закріплення позитивних тенденцій.</w:t>
            </w:r>
          </w:p>
        </w:tc>
      </w:tr>
      <w:tr w:rsidR="00635AA7" w14:paraId="480BEA68" w14:textId="77777777" w:rsidTr="00215F31">
        <w:tc>
          <w:tcPr>
            <w:tcW w:w="4957" w:type="dxa"/>
            <w:gridSpan w:val="2"/>
          </w:tcPr>
          <w:p w14:paraId="3C8B2610" w14:textId="77777777" w:rsidR="00635AA7" w:rsidRPr="001B758D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671" w:type="dxa"/>
          </w:tcPr>
          <w:p w14:paraId="414011C6" w14:textId="07A60BF9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</w:t>
            </w:r>
            <w:r w:rsidR="00E73834" w:rsidRPr="00E73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215F31">
        <w:tc>
          <w:tcPr>
            <w:tcW w:w="4957" w:type="dxa"/>
            <w:gridSpan w:val="2"/>
          </w:tcPr>
          <w:p w14:paraId="0C2C7C6A" w14:textId="77777777" w:rsidR="00635AA7" w:rsidRPr="001B758D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призначення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4671" w:type="dxa"/>
          </w:tcPr>
          <w:p w14:paraId="1CD8B5F9" w14:textId="3445B494" w:rsidR="00635AA7" w:rsidRPr="0056123E" w:rsidRDefault="00C80026" w:rsidP="00C8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посаду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635AA7" w14:paraId="5AF25AB9" w14:textId="77777777" w:rsidTr="00215F31">
        <w:tc>
          <w:tcPr>
            <w:tcW w:w="4957" w:type="dxa"/>
            <w:gridSpan w:val="2"/>
          </w:tcPr>
          <w:p w14:paraId="182D2FA5" w14:textId="77777777" w:rsidR="00635AA7" w:rsidRPr="001B758D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надати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4671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FC26703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довільної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резюме за формою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 Порядку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№ 246; </w:t>
            </w:r>
          </w:p>
          <w:p w14:paraId="0FF6D561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агентства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року № 77-20; </w:t>
            </w:r>
          </w:p>
          <w:p w14:paraId="142078E9" w14:textId="77777777" w:rsidR="00DE17B9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0B64A450" w14:textId="3CCB415C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2F003BC6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69A7082" w:rsidR="00EF195F" w:rsidRPr="002F0162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F0162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56123E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6185966" w14:textId="77777777" w:rsidR="00EF3ACE" w:rsidRPr="00303446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14:paraId="1F2A9AF6" w14:textId="284A3613" w:rsidR="00EF3AC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1342FF" w:rsidRPr="00134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D3516" w:rsidRPr="00134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3834" w:rsidRPr="00134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="00E73834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року </w:t>
            </w:r>
          </w:p>
          <w:p w14:paraId="4DC007A6" w14:textId="55ADFF5E" w:rsidR="00831190" w:rsidRPr="0056123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C800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D3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</w:t>
            </w:r>
            <w:r w:rsidR="00756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F77839" w14:paraId="5246B7B8" w14:textId="77777777" w:rsidTr="00215F31">
        <w:tc>
          <w:tcPr>
            <w:tcW w:w="4957" w:type="dxa"/>
            <w:gridSpan w:val="2"/>
          </w:tcPr>
          <w:p w14:paraId="1E8F48DF" w14:textId="0936FDC5" w:rsidR="00F77839" w:rsidRPr="001B758D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 xml:space="preserve">Місце та спосіб проведення співбесіди з  уповноваженою особою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4671" w:type="dxa"/>
          </w:tcPr>
          <w:p w14:paraId="79EB486F" w14:textId="57633F90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831190" w14:paraId="54ABD240" w14:textId="77777777" w:rsidTr="00215F31">
        <w:tc>
          <w:tcPr>
            <w:tcW w:w="4957" w:type="dxa"/>
            <w:gridSpan w:val="2"/>
          </w:tcPr>
          <w:p w14:paraId="7E02EF2C" w14:textId="77777777" w:rsidR="00FF345B" w:rsidRPr="001B758D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FF345B" w:rsidRPr="001B758D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31190" w:rsidRPr="001B758D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4671" w:type="dxa"/>
          </w:tcPr>
          <w:p w14:paraId="39A7122A" w14:textId="7459A6B2" w:rsid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="00E73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E5D0356" w14:textId="3BC1311C" w:rsidR="00E73834" w:rsidRPr="0056123E" w:rsidRDefault="00E73834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Бражевська Оксана Леонідівна</w:t>
            </w:r>
          </w:p>
          <w:p w14:paraId="5970AC8C" w14:textId="056A384F" w:rsidR="0056123E" w:rsidRPr="00F77839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1B758D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215F31">
        <w:tc>
          <w:tcPr>
            <w:tcW w:w="4957" w:type="dxa"/>
            <w:gridSpan w:val="2"/>
          </w:tcPr>
          <w:p w14:paraId="571841E2" w14:textId="77777777" w:rsidR="0029748A" w:rsidRPr="001B758D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4671" w:type="dxa"/>
            <w:vAlign w:val="center"/>
          </w:tcPr>
          <w:p w14:paraId="58A46593" w14:textId="3C2EDAAE" w:rsidR="0029748A" w:rsidRPr="006F7864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215F31">
        <w:tc>
          <w:tcPr>
            <w:tcW w:w="4957" w:type="dxa"/>
            <w:gridSpan w:val="2"/>
          </w:tcPr>
          <w:p w14:paraId="776FFED2" w14:textId="77777777" w:rsidR="0029748A" w:rsidRPr="001B758D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671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</w:t>
            </w:r>
            <w:r w:rsidRPr="00116232">
              <w:rPr>
                <w:rFonts w:ascii="Times New Roman" w:hAnsi="Times New Roman"/>
                <w:sz w:val="28"/>
                <w:szCs w:val="28"/>
              </w:rPr>
              <w:lastRenderedPageBreak/>
              <w:t>форми власності не менше двох років</w:t>
            </w:r>
          </w:p>
        </w:tc>
      </w:tr>
      <w:tr w:rsidR="00FF345B" w14:paraId="05521984" w14:textId="77777777" w:rsidTr="00215F31">
        <w:tc>
          <w:tcPr>
            <w:tcW w:w="4957" w:type="dxa"/>
            <w:gridSpan w:val="2"/>
          </w:tcPr>
          <w:p w14:paraId="51615917" w14:textId="77777777" w:rsidR="00FF345B" w:rsidRPr="001B758D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4671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9748A" w14:paraId="3BFADD4C" w14:textId="77777777" w:rsidTr="00215F31">
        <w:tc>
          <w:tcPr>
            <w:tcW w:w="4957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4671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C43CAB" w14:paraId="6763BDA7" w14:textId="77777777" w:rsidTr="00215F31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1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4671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215F31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1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671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215F31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531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671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215F31">
        <w:tc>
          <w:tcPr>
            <w:tcW w:w="426" w:type="dxa"/>
          </w:tcPr>
          <w:p w14:paraId="4BF29FB4" w14:textId="4ACDD3C6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531" w:type="dxa"/>
          </w:tcPr>
          <w:p w14:paraId="35E5AC56" w14:textId="31FE49C4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671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215F31">
        <w:tc>
          <w:tcPr>
            <w:tcW w:w="426" w:type="dxa"/>
          </w:tcPr>
          <w:p w14:paraId="3D8168D9" w14:textId="664398AB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1" w:type="dxa"/>
          </w:tcPr>
          <w:p w14:paraId="28A00F98" w14:textId="683D64B8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4671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50B44FE3"/>
    <w:multiLevelType w:val="hybridMultilevel"/>
    <w:tmpl w:val="432EC5F0"/>
    <w:lvl w:ilvl="0" w:tplc="616E19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3"/>
  </w:num>
  <w:num w:numId="2" w16cid:durableId="448746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948028">
    <w:abstractNumId w:val="2"/>
  </w:num>
  <w:num w:numId="4" w16cid:durableId="77386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A6324"/>
    <w:rsid w:val="000D029A"/>
    <w:rsid w:val="00110DCC"/>
    <w:rsid w:val="00124CE6"/>
    <w:rsid w:val="001342FF"/>
    <w:rsid w:val="00160492"/>
    <w:rsid w:val="00177262"/>
    <w:rsid w:val="001B758D"/>
    <w:rsid w:val="001E2A1A"/>
    <w:rsid w:val="001F64FD"/>
    <w:rsid w:val="00215394"/>
    <w:rsid w:val="00215F31"/>
    <w:rsid w:val="00276861"/>
    <w:rsid w:val="0029748A"/>
    <w:rsid w:val="002F0162"/>
    <w:rsid w:val="003B3C22"/>
    <w:rsid w:val="00462BC0"/>
    <w:rsid w:val="00497FEF"/>
    <w:rsid w:val="004D3516"/>
    <w:rsid w:val="004D4FCB"/>
    <w:rsid w:val="004F6A7C"/>
    <w:rsid w:val="005151E5"/>
    <w:rsid w:val="0056123E"/>
    <w:rsid w:val="00566BD7"/>
    <w:rsid w:val="005971FA"/>
    <w:rsid w:val="005B255B"/>
    <w:rsid w:val="00635AA7"/>
    <w:rsid w:val="00675717"/>
    <w:rsid w:val="006C07B5"/>
    <w:rsid w:val="006F7864"/>
    <w:rsid w:val="00706FEB"/>
    <w:rsid w:val="0075674D"/>
    <w:rsid w:val="007F0487"/>
    <w:rsid w:val="00831190"/>
    <w:rsid w:val="00926827"/>
    <w:rsid w:val="0099358E"/>
    <w:rsid w:val="009F7E5D"/>
    <w:rsid w:val="00A22F87"/>
    <w:rsid w:val="00A3390B"/>
    <w:rsid w:val="00A952F6"/>
    <w:rsid w:val="00B0229F"/>
    <w:rsid w:val="00B07E81"/>
    <w:rsid w:val="00B2055D"/>
    <w:rsid w:val="00B705CA"/>
    <w:rsid w:val="00B85711"/>
    <w:rsid w:val="00BB00CF"/>
    <w:rsid w:val="00C02175"/>
    <w:rsid w:val="00C1564B"/>
    <w:rsid w:val="00C40412"/>
    <w:rsid w:val="00C43CAB"/>
    <w:rsid w:val="00C80026"/>
    <w:rsid w:val="00D275E2"/>
    <w:rsid w:val="00DE17B9"/>
    <w:rsid w:val="00E73834"/>
    <w:rsid w:val="00EF195F"/>
    <w:rsid w:val="00EF3ACE"/>
    <w:rsid w:val="00F77839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4801</Words>
  <Characters>2738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10</cp:revision>
  <cp:lastPrinted>2022-08-04T05:57:00Z</cp:lastPrinted>
  <dcterms:created xsi:type="dcterms:W3CDTF">2022-08-01T12:38:00Z</dcterms:created>
  <dcterms:modified xsi:type="dcterms:W3CDTF">2022-08-08T07:25:00Z</dcterms:modified>
</cp:coreProperties>
</file>