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3FE7" w14:textId="77777777" w:rsidR="00430922" w:rsidRDefault="00000000">
      <w:pPr>
        <w:pStyle w:val="rvps2"/>
        <w:shd w:val="clear" w:color="auto" w:fill="FFFFFF"/>
        <w:ind w:firstLine="450"/>
        <w:jc w:val="center"/>
        <w:rPr>
          <w:b/>
          <w:sz w:val="26"/>
          <w:lang w:val="uk-UA"/>
        </w:rPr>
      </w:pPr>
      <w:r>
        <w:rPr>
          <w:b/>
          <w:sz w:val="26"/>
          <w:lang w:val="uk-UA"/>
        </w:rPr>
        <w:t>АНАЛІЗ РЕГУЛЯТОРНОГО ВПЛИВУ</w:t>
      </w:r>
    </w:p>
    <w:p w14:paraId="7DA83A03" w14:textId="77777777" w:rsidR="00430922" w:rsidRDefault="00000000" w:rsidP="00735CCD">
      <w:pPr>
        <w:pStyle w:val="rvps2"/>
        <w:shd w:val="clear" w:color="auto" w:fill="FFFFFF"/>
        <w:spacing w:before="0" w:beforeAutospacing="0" w:after="0" w:afterAutospacing="0"/>
        <w:ind w:firstLine="450"/>
        <w:jc w:val="center"/>
        <w:rPr>
          <w:b/>
          <w:sz w:val="26"/>
          <w:lang w:val="uk-UA"/>
        </w:rPr>
      </w:pPr>
      <w:r>
        <w:rPr>
          <w:b/>
          <w:sz w:val="26"/>
          <w:lang w:val="uk-UA"/>
        </w:rPr>
        <w:t xml:space="preserve">проєкту постанови Кабінету Міністрів України </w:t>
      </w:r>
    </w:p>
    <w:p w14:paraId="39C66EAA" w14:textId="77777777" w:rsidR="00430922" w:rsidRDefault="00000000" w:rsidP="00735CCD">
      <w:pPr>
        <w:pStyle w:val="rvps2"/>
        <w:shd w:val="clear" w:color="auto" w:fill="FFFFFF"/>
        <w:spacing w:before="0" w:beforeAutospacing="0" w:after="0" w:afterAutospacing="0"/>
        <w:ind w:firstLine="450"/>
        <w:jc w:val="center"/>
        <w:rPr>
          <w:b/>
          <w:sz w:val="26"/>
          <w:lang w:val="uk-UA"/>
        </w:rPr>
      </w:pPr>
      <w:r>
        <w:rPr>
          <w:b/>
          <w:sz w:val="26"/>
          <w:lang w:val="uk-UA"/>
        </w:rPr>
        <w:t>“Про затвердження Порядку та умов надання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w:t>
      </w:r>
    </w:p>
    <w:p w14:paraId="0C90470E"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I. Визначення та аналіз проблеми, яку пропонується розв’язати шляхом державного регулювання, оцінка важливості цієї проблеми.</w:t>
      </w:r>
    </w:p>
    <w:p w14:paraId="160288A7" w14:textId="77777777" w:rsidR="00430922" w:rsidRDefault="00430922">
      <w:pPr>
        <w:spacing w:after="0" w:line="240" w:lineRule="auto"/>
        <w:ind w:firstLine="720"/>
        <w:jc w:val="both"/>
        <w:rPr>
          <w:rFonts w:ascii="Times New Roman" w:hAnsi="Times New Roman"/>
          <w:sz w:val="26"/>
          <w:lang w:val="uk-UA"/>
        </w:rPr>
      </w:pPr>
    </w:p>
    <w:p w14:paraId="7A413AB8"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Психічне здоров’я неабияк впливає на економічний добробут та рівень бідності. Проблеми з психічним здоров’ям негативно позначаються не лише на продуктивності особи чи на її добробуті, а й виходять «за межі» цієї особи, негативно впливаючи на її близьких, на громаду та на життя спільноти загалом.</w:t>
      </w:r>
    </w:p>
    <w:p w14:paraId="33768CB2"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У час криз, конфліктів, війн та пандемії потреби у сфері психічного здоров’я зростають. Такі кризові несприятливі соціальні події також змушують звертати більшу увагу на доступність послуг, відповідність послуг потребам громадян, фінансове забезпечення та зменшення фінансових ризиків для населення.</w:t>
      </w:r>
    </w:p>
    <w:p w14:paraId="66005936"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 xml:space="preserve">Понад вісім років Україна потерпає від військової та гібридної агресії, внаслідок чого загострились накопичені в країні проблеми, пов’язані з відсутністю на державному рівні системи надання психологічної допомоги не лише військовослужбовцям та ветеранам війни, а й членам їх сімей, членам сімей загиблих (померлих) Захисників і Захисниць України, цивільному населенню. В умовах збройної та гібридної агресії така ситуація спричиняє важкі наслідки для психічного здоров’я осіб, які здійснювали та здійснюють захист незалежності, суверенітету та територіальної цілісності України.  </w:t>
      </w:r>
    </w:p>
    <w:p w14:paraId="366B5093"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Реалізація впродовж 2015-2021 рр. бюджетної програми щодо психологічної реабілітації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членів їх сімей та членів сімей загиблих (померлих) таких осіб, постраждалих учасників Революції Гідності, не вирішила проблему, оскільки психологічна реабілітація є лише одним з видів психологічної допомоги, якої можуть потребувати учасники бойових дій, тож надавати якісно лише один з видів допомоги за відсутності власне системи психологічної допомоги не є можливим.</w:t>
      </w:r>
    </w:p>
    <w:p w14:paraId="4DFED6B7"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 xml:space="preserve">Проведення психологічної реабілітації у відриві від інших видів надання психологічної допомоги за відсутності професійних стандартів призвело до викривленого розуміння суті психологічної реабілітації, коли під нею почали розуміти дуже широкий спектр послуг – не лише психологічне консультування і психотерапію (спеціалізовану психологічну допомогу), а й “відновлювальний відпочинок”, жодним чином не пов’язаний з наданням професійної психологічної допомоги. Зазначене дезорієнтувало як самих учасників бойових дій, так і </w:t>
      </w:r>
      <w:r>
        <w:rPr>
          <w:rStyle w:val="4"/>
          <w:rFonts w:ascii="Times New Roman" w:hAnsi="Times New Roman"/>
          <w:sz w:val="26"/>
          <w:lang w:val="uk-UA"/>
        </w:rPr>
        <w:lastRenderedPageBreak/>
        <w:t>суспільство, сприяло формуванню упередженого ставлення до державних органів та держави в цілому.</w:t>
      </w:r>
    </w:p>
    <w:p w14:paraId="448016FA"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Навіть запровадження Державної цільової програми з медичної, фізичної реабілітації та психосоціальної реадаптації постраждалих учасників Революції Гідності,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період до 2023 року, затвердженої постановою Кабінету Міністрів України від 5 грудня 2018 р. № 1021, без системного бачення надання психологічної допомоги цільовій групі як комплексу послуг у сфері психічного здоров’я та психосоціальної підтримки, що надаються на основі принципу багаторівневості і покрокового підходу не забезпечило очікуваного результату.</w:t>
      </w:r>
    </w:p>
    <w:p w14:paraId="00FE4F43"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Рекомендований ВООЗ покроковий підхід до психологічної допомоги дозволяє пов’язати потреби людини, яка має психологічні проблеми чи розлади, та інтенсивність і спосіб допомоги, а також розпланувати ресурси для забезпечення цієї допомоги, оскільки різні інтервенції мають різну вартість. Загальна ідея покрокового підходу полягає в тому, щоб особа з певними потребами щодо психічного здоров’я отримала послугу саме того рівня, який для неї оптимальний. Так, покроковий підхід передбачає надання оптимальних послуг у слушний час, якомога раніше і з мінімальною інтенсивністю. Це дозволяє максимально допомогти людині й водночас заощадити ресурси.</w:t>
      </w:r>
    </w:p>
    <w:p w14:paraId="37337A08"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 xml:space="preserve">Єдиною можливістю підвищення доступності психологічної допомоги для отримувача послуг є надання базової допомоги та правильне і своєчасне скерування за фаховою допомогою. Тому надважливим є розвиток </w:t>
      </w:r>
      <w:proofErr w:type="spellStart"/>
      <w:r>
        <w:rPr>
          <w:rStyle w:val="4"/>
          <w:rFonts w:ascii="Times New Roman" w:hAnsi="Times New Roman"/>
          <w:sz w:val="26"/>
          <w:lang w:val="uk-UA"/>
        </w:rPr>
        <w:t>міжсекторальної</w:t>
      </w:r>
      <w:proofErr w:type="spellEnd"/>
      <w:r>
        <w:rPr>
          <w:rStyle w:val="4"/>
          <w:rFonts w:ascii="Times New Roman" w:hAnsi="Times New Roman"/>
          <w:sz w:val="26"/>
          <w:lang w:val="uk-UA"/>
        </w:rPr>
        <w:t xml:space="preserve"> співпраці, яка допомагає налагоджувати взаємодію між секторами соціальної допомоги, охорони здоров’я, громадськими організаціями та отримувачами послуг.</w:t>
      </w:r>
    </w:p>
    <w:p w14:paraId="4CDD63B1"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Вирішення зазначених вище проблем потребує невідкладного нормативного забезпечення.</w:t>
      </w:r>
    </w:p>
    <w:p w14:paraId="644659FC"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 xml:space="preserve">Відповідно до абзацу третього пункту 2 розділу I Закону України від 24 березня 2022 р. № 2153-ІХ “Про внесення змін до деяких законодавчих актів України у зв’язку з внесенням змін до Закону України “Про статус ветеранів війни, гарантії їх соціального </w:t>
      </w:r>
      <w:proofErr w:type="spellStart"/>
      <w:r>
        <w:rPr>
          <w:rStyle w:val="4"/>
          <w:rFonts w:ascii="Times New Roman" w:hAnsi="Times New Roman"/>
          <w:sz w:val="26"/>
          <w:lang w:val="uk-UA"/>
        </w:rPr>
        <w:t>захистуˮ</w:t>
      </w:r>
      <w:proofErr w:type="spellEnd"/>
      <w:r>
        <w:rPr>
          <w:rStyle w:val="4"/>
          <w:rFonts w:ascii="Times New Roman" w:hAnsi="Times New Roman"/>
          <w:sz w:val="26"/>
          <w:lang w:val="uk-UA"/>
        </w:rPr>
        <w:t xml:space="preserve"> організація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членам сімей загиблих (померлих) ветеранів війни, членам сімей загиблих (померлих) Захисників і Захисниць України, визначеним Законом України “Про статус ветеранів війни, гарантії їх соціального захисту” провадиться Мінветеранів згідно Порядку та умов надання психологічної допомоги, визначених Кабінетом Міністрів України.</w:t>
      </w:r>
    </w:p>
    <w:p w14:paraId="79F70CD5" w14:textId="6D138D94" w:rsidR="00430922" w:rsidRDefault="00000000">
      <w:pPr>
        <w:pStyle w:val="2"/>
        <w:ind w:firstLine="567"/>
        <w:jc w:val="both"/>
        <w:rPr>
          <w:rStyle w:val="4"/>
          <w:sz w:val="26"/>
          <w:lang w:val="uk-UA"/>
        </w:rPr>
      </w:pPr>
      <w:r>
        <w:rPr>
          <w:rStyle w:val="4"/>
          <w:sz w:val="26"/>
          <w:lang w:val="uk-UA"/>
        </w:rPr>
        <w:t>Міністерством у справах ветеранів України розроблено про</w:t>
      </w:r>
      <w:r w:rsidR="00735CCD">
        <w:rPr>
          <w:rStyle w:val="4"/>
          <w:sz w:val="26"/>
          <w:lang w:val="uk-UA"/>
        </w:rPr>
        <w:t>є</w:t>
      </w:r>
      <w:r>
        <w:rPr>
          <w:rStyle w:val="4"/>
          <w:sz w:val="26"/>
          <w:lang w:val="uk-UA"/>
        </w:rPr>
        <w:t xml:space="preserve">кт постанови Кабінету Міністрів України “Про затвердження Порядку та умов надання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w:t>
      </w:r>
      <w:r>
        <w:rPr>
          <w:rStyle w:val="4"/>
          <w:sz w:val="26"/>
          <w:lang w:val="uk-UA"/>
        </w:rPr>
        <w:lastRenderedPageBreak/>
        <w:t>Закону України “Про статус ветеранів війни, гарантії їх соціального захисту” (далі – про</w:t>
      </w:r>
      <w:r w:rsidR="00735CCD">
        <w:rPr>
          <w:rStyle w:val="4"/>
          <w:sz w:val="26"/>
          <w:lang w:val="uk-UA"/>
        </w:rPr>
        <w:t>є</w:t>
      </w:r>
      <w:r>
        <w:rPr>
          <w:rStyle w:val="4"/>
          <w:sz w:val="26"/>
          <w:lang w:val="uk-UA"/>
        </w:rPr>
        <w:t xml:space="preserve">кт </w:t>
      </w:r>
      <w:proofErr w:type="spellStart"/>
      <w:r>
        <w:rPr>
          <w:rStyle w:val="4"/>
          <w:sz w:val="26"/>
          <w:lang w:val="uk-UA"/>
        </w:rPr>
        <w:t>акта</w:t>
      </w:r>
      <w:proofErr w:type="spellEnd"/>
      <w:r>
        <w:rPr>
          <w:rStyle w:val="4"/>
          <w:sz w:val="26"/>
          <w:lang w:val="uk-UA"/>
        </w:rPr>
        <w:t>).</w:t>
      </w:r>
    </w:p>
    <w:p w14:paraId="15B443FD" w14:textId="7581B0C4" w:rsidR="00430922" w:rsidRDefault="00000000">
      <w:pPr>
        <w:pStyle w:val="2"/>
        <w:ind w:firstLine="567"/>
        <w:jc w:val="both"/>
        <w:rPr>
          <w:rStyle w:val="4"/>
          <w:sz w:val="26"/>
          <w:lang w:val="uk-UA"/>
        </w:rPr>
      </w:pPr>
      <w:r>
        <w:rPr>
          <w:rStyle w:val="4"/>
          <w:sz w:val="26"/>
          <w:lang w:val="uk-UA"/>
        </w:rPr>
        <w:t>Про</w:t>
      </w:r>
      <w:r w:rsidR="00735CCD">
        <w:rPr>
          <w:rStyle w:val="4"/>
          <w:sz w:val="26"/>
          <w:lang w:val="uk-UA"/>
        </w:rPr>
        <w:t>є</w:t>
      </w:r>
      <w:r>
        <w:rPr>
          <w:rStyle w:val="4"/>
          <w:sz w:val="26"/>
          <w:lang w:val="uk-UA"/>
        </w:rPr>
        <w:t xml:space="preserve">кт </w:t>
      </w:r>
      <w:proofErr w:type="spellStart"/>
      <w:r>
        <w:rPr>
          <w:rStyle w:val="4"/>
          <w:sz w:val="26"/>
          <w:lang w:val="uk-UA"/>
        </w:rPr>
        <w:t>акта</w:t>
      </w:r>
      <w:proofErr w:type="spellEnd"/>
      <w:r>
        <w:rPr>
          <w:rStyle w:val="4"/>
          <w:sz w:val="26"/>
          <w:lang w:val="uk-UA"/>
        </w:rPr>
        <w:t xml:space="preserve"> має на меті удосконалення способу організації та надання послуг, підвищення доступності, ефективності та результативності послуг у сфері охорони психічного здоров’я та психосоціальної підтримки, розширення географії послуг при зменшенні потреби у ресурсах, впровадження електронних ресурсів в організацію надання послуг, дотримання принципу наступності в наданні послуг (можливість перенаправлення отримувача послуг між відомствами, рівнями та інституціями).</w:t>
      </w:r>
    </w:p>
    <w:p w14:paraId="3FA0F715"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Проблемою, яку пропонується розв’язати шляхом державного регулювання, є відсутність системи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 (далі – ветерани війни).</w:t>
      </w:r>
    </w:p>
    <w:p w14:paraId="1D33C6FC"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Під час визначення проблеми, яку планується розв’язати шляхом державного регулювання, встановлені основні групи осіб, на які така проблема має вплив:</w:t>
      </w:r>
    </w:p>
    <w:p w14:paraId="666569AB" w14:textId="77777777" w:rsidR="00430922" w:rsidRDefault="00430922">
      <w:pPr>
        <w:spacing w:after="0" w:line="240" w:lineRule="auto"/>
        <w:ind w:firstLine="720"/>
        <w:jc w:val="both"/>
        <w:rPr>
          <w:rFonts w:ascii="Times New Roman" w:hAnsi="Times New Roman"/>
          <w:sz w:val="26"/>
          <w:lang w:val="uk-UA"/>
        </w:rPr>
      </w:pPr>
    </w:p>
    <w:tbl>
      <w:tblPr>
        <w:tblW w:w="5000" w:type="pct"/>
        <w:tblBorders>
          <w:top w:val="single" w:sz="6" w:space="0" w:color="auto"/>
          <w:left w:val="single" w:sz="6" w:space="0" w:color="auto"/>
          <w:bottom w:val="single" w:sz="6" w:space="0" w:color="auto"/>
          <w:right w:val="single" w:sz="6" w:space="0" w:color="auto"/>
          <w:insideH w:val="none" w:sz="0" w:space="0" w:color="000000"/>
          <w:insideV w:val="none" w:sz="0" w:space="0" w:color="000000"/>
        </w:tblBorders>
        <w:tblLayout w:type="fixed"/>
        <w:tblCellMar>
          <w:top w:w="15" w:type="dxa"/>
          <w:left w:w="15" w:type="dxa"/>
          <w:bottom w:w="15" w:type="dxa"/>
          <w:right w:w="15" w:type="dxa"/>
        </w:tblCellMar>
        <w:tblLook w:val="04A0" w:firstRow="1" w:lastRow="0" w:firstColumn="1" w:lastColumn="0" w:noHBand="0" w:noVBand="1"/>
      </w:tblPr>
      <w:tblGrid>
        <w:gridCol w:w="3028"/>
        <w:gridCol w:w="2919"/>
        <w:gridCol w:w="3397"/>
      </w:tblGrid>
      <w:tr w:rsidR="00430922" w14:paraId="53755B79" w14:textId="77777777">
        <w:tc>
          <w:tcPr>
            <w:tcW w:w="162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5B93A0D5" w14:textId="77777777" w:rsidR="00430922" w:rsidRDefault="00000000">
            <w:pPr>
              <w:pStyle w:val="1"/>
              <w:tabs>
                <w:tab w:val="left" w:pos="709"/>
              </w:tabs>
              <w:jc w:val="center"/>
              <w:rPr>
                <w:rStyle w:val="10"/>
                <w:sz w:val="26"/>
                <w:lang w:val="uk-UA"/>
              </w:rPr>
            </w:pPr>
            <w:hyperlink r:id="rId5" w:tgtFrame="_blank" w:history="1">
              <w:r>
                <w:rPr>
                  <w:rStyle w:val="10"/>
                  <w:sz w:val="26"/>
                  <w:lang w:val="uk-UA"/>
                </w:rPr>
                <w:t>Групи/підгрупи</w:t>
              </w:r>
            </w:hyperlink>
          </w:p>
        </w:tc>
        <w:tc>
          <w:tcPr>
            <w:tcW w:w="1562"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498DF1CE" w14:textId="77777777" w:rsidR="00430922" w:rsidRDefault="00000000">
            <w:pPr>
              <w:pStyle w:val="1"/>
              <w:tabs>
                <w:tab w:val="left" w:pos="709"/>
              </w:tabs>
              <w:jc w:val="center"/>
              <w:rPr>
                <w:rStyle w:val="10"/>
                <w:sz w:val="26"/>
                <w:lang w:val="uk-UA"/>
              </w:rPr>
            </w:pPr>
            <w:hyperlink r:id="rId6" w:tgtFrame="_blank" w:history="1">
              <w:r>
                <w:rPr>
                  <w:rStyle w:val="10"/>
                  <w:sz w:val="26"/>
                  <w:lang w:val="uk-UA"/>
                </w:rPr>
                <w:t>Так</w:t>
              </w:r>
            </w:hyperlink>
          </w:p>
        </w:tc>
        <w:tc>
          <w:tcPr>
            <w:tcW w:w="181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14:paraId="65825149" w14:textId="77777777" w:rsidR="00430922" w:rsidRDefault="00000000">
            <w:pPr>
              <w:pStyle w:val="1"/>
              <w:tabs>
                <w:tab w:val="left" w:pos="709"/>
              </w:tabs>
              <w:jc w:val="center"/>
              <w:rPr>
                <w:rStyle w:val="10"/>
                <w:sz w:val="26"/>
                <w:lang w:val="uk-UA"/>
              </w:rPr>
            </w:pPr>
            <w:r>
              <w:rPr>
                <w:rStyle w:val="10"/>
                <w:sz w:val="26"/>
                <w:lang w:val="uk-UA"/>
              </w:rPr>
              <w:t>Ні</w:t>
            </w:r>
          </w:p>
        </w:tc>
      </w:tr>
      <w:tr w:rsidR="00430922" w14:paraId="20A204AA" w14:textId="77777777">
        <w:tc>
          <w:tcPr>
            <w:tcW w:w="162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584317C2" w14:textId="77777777" w:rsidR="00430922" w:rsidRDefault="00000000">
            <w:pPr>
              <w:pStyle w:val="1"/>
              <w:tabs>
                <w:tab w:val="left" w:pos="709"/>
              </w:tabs>
              <w:jc w:val="center"/>
              <w:rPr>
                <w:rStyle w:val="10"/>
                <w:sz w:val="26"/>
                <w:lang w:val="uk-UA"/>
              </w:rPr>
            </w:pPr>
            <w:r>
              <w:rPr>
                <w:rStyle w:val="10"/>
                <w:sz w:val="26"/>
                <w:lang w:val="uk-UA"/>
              </w:rPr>
              <w:t>Громадяни</w:t>
            </w:r>
          </w:p>
        </w:tc>
        <w:tc>
          <w:tcPr>
            <w:tcW w:w="1562"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20F34F69" w14:textId="77777777" w:rsidR="00430922" w:rsidRDefault="00000000">
            <w:pPr>
              <w:pStyle w:val="1"/>
              <w:tabs>
                <w:tab w:val="left" w:pos="709"/>
              </w:tabs>
              <w:jc w:val="center"/>
              <w:rPr>
                <w:rStyle w:val="10"/>
                <w:sz w:val="26"/>
                <w:lang w:val="uk-UA"/>
              </w:rPr>
            </w:pPr>
            <w:r>
              <w:rPr>
                <w:rStyle w:val="10"/>
                <w:sz w:val="26"/>
                <w:lang w:val="uk-UA"/>
              </w:rPr>
              <w:t>+</w:t>
            </w:r>
          </w:p>
        </w:tc>
        <w:tc>
          <w:tcPr>
            <w:tcW w:w="181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313A3222" w14:textId="77777777" w:rsidR="00430922" w:rsidRDefault="00000000">
            <w:pPr>
              <w:pStyle w:val="1"/>
              <w:tabs>
                <w:tab w:val="left" w:pos="709"/>
              </w:tabs>
              <w:jc w:val="center"/>
              <w:rPr>
                <w:rStyle w:val="10"/>
                <w:sz w:val="26"/>
                <w:lang w:val="uk-UA"/>
              </w:rPr>
            </w:pPr>
            <w:r>
              <w:rPr>
                <w:rStyle w:val="10"/>
                <w:sz w:val="26"/>
                <w:lang w:val="uk-UA"/>
              </w:rPr>
              <w:t>-</w:t>
            </w:r>
          </w:p>
        </w:tc>
      </w:tr>
      <w:tr w:rsidR="00430922" w14:paraId="135CF6D8" w14:textId="77777777">
        <w:tc>
          <w:tcPr>
            <w:tcW w:w="162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0299BE16" w14:textId="77777777" w:rsidR="00430922" w:rsidRDefault="00000000">
            <w:pPr>
              <w:pStyle w:val="1"/>
              <w:tabs>
                <w:tab w:val="left" w:pos="709"/>
              </w:tabs>
              <w:jc w:val="center"/>
              <w:rPr>
                <w:rStyle w:val="10"/>
                <w:sz w:val="26"/>
                <w:lang w:val="uk-UA"/>
              </w:rPr>
            </w:pPr>
            <w:r>
              <w:rPr>
                <w:rStyle w:val="10"/>
                <w:sz w:val="26"/>
                <w:lang w:val="uk-UA"/>
              </w:rPr>
              <w:t>Держава</w:t>
            </w:r>
          </w:p>
        </w:tc>
        <w:tc>
          <w:tcPr>
            <w:tcW w:w="1562"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5F1DFAAD" w14:textId="77777777" w:rsidR="00430922" w:rsidRDefault="00000000">
            <w:pPr>
              <w:pStyle w:val="1"/>
              <w:tabs>
                <w:tab w:val="left" w:pos="709"/>
              </w:tabs>
              <w:jc w:val="center"/>
              <w:rPr>
                <w:rStyle w:val="10"/>
                <w:sz w:val="26"/>
                <w:lang w:val="uk-UA"/>
              </w:rPr>
            </w:pPr>
            <w:r>
              <w:rPr>
                <w:rStyle w:val="10"/>
                <w:sz w:val="26"/>
                <w:lang w:val="uk-UA"/>
              </w:rPr>
              <w:t>+</w:t>
            </w:r>
          </w:p>
        </w:tc>
        <w:tc>
          <w:tcPr>
            <w:tcW w:w="181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1C26B0E5" w14:textId="77777777" w:rsidR="00430922" w:rsidRDefault="00000000">
            <w:pPr>
              <w:pStyle w:val="1"/>
              <w:tabs>
                <w:tab w:val="left" w:pos="709"/>
              </w:tabs>
              <w:jc w:val="center"/>
              <w:rPr>
                <w:rStyle w:val="10"/>
                <w:sz w:val="26"/>
                <w:lang w:val="uk-UA"/>
              </w:rPr>
            </w:pPr>
            <w:r>
              <w:rPr>
                <w:rStyle w:val="10"/>
                <w:sz w:val="26"/>
                <w:lang w:val="uk-UA"/>
              </w:rPr>
              <w:t>-</w:t>
            </w:r>
          </w:p>
        </w:tc>
      </w:tr>
      <w:tr w:rsidR="00430922" w14:paraId="08C700C0" w14:textId="77777777">
        <w:tc>
          <w:tcPr>
            <w:tcW w:w="162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7076720A" w14:textId="77777777" w:rsidR="00430922" w:rsidRDefault="00000000">
            <w:pPr>
              <w:pStyle w:val="1"/>
              <w:tabs>
                <w:tab w:val="left" w:pos="709"/>
              </w:tabs>
              <w:jc w:val="center"/>
              <w:rPr>
                <w:rStyle w:val="10"/>
                <w:sz w:val="26"/>
                <w:lang w:val="uk-UA"/>
              </w:rPr>
            </w:pPr>
            <w:r>
              <w:rPr>
                <w:rStyle w:val="10"/>
                <w:sz w:val="26"/>
                <w:lang w:val="uk-UA"/>
              </w:rPr>
              <w:t xml:space="preserve">Суб'єкти господарювання </w:t>
            </w:r>
          </w:p>
        </w:tc>
        <w:tc>
          <w:tcPr>
            <w:tcW w:w="1562"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0B01E4F8" w14:textId="77777777" w:rsidR="00430922" w:rsidRDefault="00000000">
            <w:pPr>
              <w:pStyle w:val="1"/>
              <w:tabs>
                <w:tab w:val="left" w:pos="709"/>
              </w:tabs>
              <w:jc w:val="center"/>
              <w:rPr>
                <w:rStyle w:val="10"/>
                <w:sz w:val="26"/>
                <w:lang w:val="uk-UA"/>
              </w:rPr>
            </w:pPr>
            <w:r>
              <w:rPr>
                <w:rStyle w:val="10"/>
                <w:sz w:val="26"/>
                <w:lang w:val="uk-UA"/>
              </w:rPr>
              <w:t>+</w:t>
            </w:r>
          </w:p>
        </w:tc>
        <w:tc>
          <w:tcPr>
            <w:tcW w:w="181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2B9B0F8" w14:textId="77777777" w:rsidR="00430922" w:rsidRDefault="00000000">
            <w:pPr>
              <w:pStyle w:val="1"/>
              <w:tabs>
                <w:tab w:val="left" w:pos="709"/>
              </w:tabs>
              <w:jc w:val="center"/>
              <w:rPr>
                <w:rStyle w:val="10"/>
                <w:sz w:val="26"/>
                <w:lang w:val="uk-UA"/>
              </w:rPr>
            </w:pPr>
            <w:r>
              <w:rPr>
                <w:rStyle w:val="10"/>
                <w:sz w:val="26"/>
                <w:lang w:val="uk-UA"/>
              </w:rPr>
              <w:t>-</w:t>
            </w:r>
          </w:p>
        </w:tc>
      </w:tr>
      <w:tr w:rsidR="00430922" w14:paraId="21B679FF" w14:textId="77777777">
        <w:tc>
          <w:tcPr>
            <w:tcW w:w="162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55747361" w14:textId="77777777" w:rsidR="00430922" w:rsidRDefault="00000000">
            <w:pPr>
              <w:pStyle w:val="1"/>
              <w:tabs>
                <w:tab w:val="left" w:pos="709"/>
              </w:tabs>
              <w:jc w:val="center"/>
              <w:rPr>
                <w:rStyle w:val="10"/>
                <w:sz w:val="26"/>
                <w:lang w:val="uk-UA"/>
              </w:rPr>
            </w:pPr>
            <w:r>
              <w:rPr>
                <w:rStyle w:val="10"/>
                <w:sz w:val="26"/>
                <w:lang w:val="uk-UA"/>
              </w:rPr>
              <w:t xml:space="preserve">у </w:t>
            </w:r>
            <w:proofErr w:type="spellStart"/>
            <w:r>
              <w:rPr>
                <w:rStyle w:val="10"/>
                <w:sz w:val="26"/>
                <w:lang w:val="uk-UA"/>
              </w:rPr>
              <w:t>т.ч</w:t>
            </w:r>
            <w:proofErr w:type="spellEnd"/>
            <w:r>
              <w:rPr>
                <w:rStyle w:val="10"/>
                <w:sz w:val="26"/>
                <w:lang w:val="uk-UA"/>
              </w:rPr>
              <w:t>. суб’єкти малого підприємництва</w:t>
            </w:r>
          </w:p>
        </w:tc>
        <w:tc>
          <w:tcPr>
            <w:tcW w:w="1562"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F7B41D4" w14:textId="419C10EE" w:rsidR="00430922" w:rsidRDefault="006F2BBC">
            <w:pPr>
              <w:pStyle w:val="1"/>
              <w:tabs>
                <w:tab w:val="left" w:pos="709"/>
              </w:tabs>
              <w:jc w:val="center"/>
              <w:rPr>
                <w:rStyle w:val="10"/>
                <w:sz w:val="26"/>
                <w:lang w:val="uk-UA"/>
              </w:rPr>
            </w:pPr>
            <w:r>
              <w:rPr>
                <w:rStyle w:val="10"/>
                <w:sz w:val="26"/>
                <w:lang w:val="uk-UA"/>
              </w:rPr>
              <w:t>-</w:t>
            </w:r>
          </w:p>
        </w:tc>
        <w:tc>
          <w:tcPr>
            <w:tcW w:w="1818"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14:paraId="669949F0" w14:textId="5B8355D0" w:rsidR="00430922" w:rsidRDefault="006F2BBC">
            <w:pPr>
              <w:pStyle w:val="1"/>
              <w:tabs>
                <w:tab w:val="left" w:pos="709"/>
              </w:tabs>
              <w:jc w:val="center"/>
              <w:rPr>
                <w:rStyle w:val="10"/>
                <w:sz w:val="26"/>
                <w:lang w:val="uk-UA"/>
              </w:rPr>
            </w:pPr>
            <w:r>
              <w:rPr>
                <w:rStyle w:val="10"/>
                <w:sz w:val="26"/>
                <w:lang w:val="uk-UA"/>
              </w:rPr>
              <w:t>+</w:t>
            </w:r>
          </w:p>
        </w:tc>
      </w:tr>
    </w:tbl>
    <w:p w14:paraId="7072DE23" w14:textId="77777777" w:rsidR="00430922" w:rsidRDefault="00430922">
      <w:pPr>
        <w:spacing w:after="0" w:line="240" w:lineRule="auto"/>
        <w:ind w:firstLine="720"/>
        <w:jc w:val="both"/>
        <w:rPr>
          <w:rFonts w:ascii="Times New Roman" w:hAnsi="Times New Roman"/>
          <w:sz w:val="26"/>
          <w:lang w:val="uk-UA"/>
        </w:rPr>
      </w:pPr>
    </w:p>
    <w:p w14:paraId="01C0CEE4"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Визначена проблема не може бути розв'язана за допомогою наявних ринкових механізмів або чинних регуляторних актів, оскільки наразі в Україні відсутня нормативно-правова база, яка б охоплювала все коло питань охорони психічного здоров’я ветеранів війни.</w:t>
      </w:r>
    </w:p>
    <w:p w14:paraId="5CCDC323" w14:textId="15A037A2" w:rsidR="00430922" w:rsidRDefault="00000000">
      <w:pPr>
        <w:pStyle w:val="2"/>
        <w:ind w:firstLine="567"/>
        <w:jc w:val="both"/>
        <w:rPr>
          <w:rStyle w:val="4"/>
          <w:sz w:val="26"/>
          <w:lang w:val="uk-UA"/>
        </w:rPr>
      </w:pPr>
      <w:r>
        <w:rPr>
          <w:rStyle w:val="4"/>
          <w:sz w:val="26"/>
          <w:lang w:val="uk-UA"/>
        </w:rPr>
        <w:t>Реалізація про</w:t>
      </w:r>
      <w:r w:rsidR="00735CCD">
        <w:rPr>
          <w:rStyle w:val="4"/>
          <w:sz w:val="26"/>
          <w:lang w:val="uk-UA"/>
        </w:rPr>
        <w:t>є</w:t>
      </w:r>
      <w:r>
        <w:rPr>
          <w:rStyle w:val="4"/>
          <w:sz w:val="26"/>
          <w:lang w:val="uk-UA"/>
        </w:rPr>
        <w:t xml:space="preserve">кту </w:t>
      </w:r>
      <w:proofErr w:type="spellStart"/>
      <w:r>
        <w:rPr>
          <w:rStyle w:val="4"/>
          <w:sz w:val="26"/>
          <w:lang w:val="uk-UA"/>
        </w:rPr>
        <w:t>акта</w:t>
      </w:r>
      <w:proofErr w:type="spellEnd"/>
      <w:r>
        <w:rPr>
          <w:rStyle w:val="4"/>
          <w:sz w:val="26"/>
          <w:lang w:val="uk-UA"/>
        </w:rPr>
        <w:t xml:space="preserve"> дозволить забезпечити швидкий та безкоштовний доступ до кваліфікованої психологічної допомоги постраждалим від війни з метою подолання наслідків стресу та покращення </w:t>
      </w:r>
      <w:proofErr w:type="spellStart"/>
      <w:r>
        <w:rPr>
          <w:rStyle w:val="4"/>
          <w:sz w:val="26"/>
          <w:lang w:val="uk-UA"/>
        </w:rPr>
        <w:t>стресостійкості</w:t>
      </w:r>
      <w:proofErr w:type="spellEnd"/>
      <w:r>
        <w:rPr>
          <w:rStyle w:val="4"/>
          <w:sz w:val="26"/>
          <w:lang w:val="uk-UA"/>
        </w:rPr>
        <w:t>, забезпечити профілактику виникнення та загострення психічних розладів, підвищити рівень якості життя цільових категорій отримувачів послуг.</w:t>
      </w:r>
    </w:p>
    <w:p w14:paraId="5CC40C67" w14:textId="77777777" w:rsidR="00430922" w:rsidRDefault="00000000">
      <w:pPr>
        <w:spacing w:after="0" w:line="240" w:lineRule="auto"/>
        <w:ind w:firstLine="720"/>
        <w:jc w:val="both"/>
        <w:rPr>
          <w:rStyle w:val="4"/>
          <w:rFonts w:ascii="Times New Roman" w:hAnsi="Times New Roman"/>
          <w:sz w:val="26"/>
          <w:lang w:val="uk-UA"/>
        </w:rPr>
      </w:pPr>
      <w:r>
        <w:rPr>
          <w:rStyle w:val="4"/>
          <w:rFonts w:ascii="Times New Roman" w:hAnsi="Times New Roman"/>
          <w:sz w:val="26"/>
          <w:lang w:val="uk-UA"/>
        </w:rPr>
        <w:t>Прийняття акта створить умови для формування в Україні сучасної системи надання психологічної допомоги ветеранам війни та членам їх сімей, яка буде функціонувати та розвиватись за тими ж принципами, стандартами та правилами, за якими функціонують системи охорони психічного здоров’я країн Євросоюзу. Прийняття акта водночас сприятиме розширенню ринку реабілітаційних та психологічних послуг.</w:t>
      </w:r>
    </w:p>
    <w:p w14:paraId="681CB178" w14:textId="77777777" w:rsidR="00430922" w:rsidRDefault="00430922">
      <w:pPr>
        <w:spacing w:after="0" w:line="240" w:lineRule="auto"/>
        <w:ind w:firstLine="720"/>
        <w:jc w:val="both"/>
        <w:rPr>
          <w:rFonts w:ascii="Times New Roman" w:hAnsi="Times New Roman"/>
          <w:sz w:val="26"/>
          <w:lang w:val="uk-UA"/>
        </w:rPr>
      </w:pPr>
    </w:p>
    <w:p w14:paraId="2FD13192" w14:textId="77777777" w:rsidR="00430922" w:rsidRDefault="00000000">
      <w:pPr>
        <w:spacing w:after="0" w:line="240" w:lineRule="auto"/>
        <w:ind w:firstLine="720"/>
        <w:jc w:val="both"/>
        <w:rPr>
          <w:rFonts w:ascii="Times New Roman" w:hAnsi="Times New Roman"/>
          <w:b/>
          <w:sz w:val="26"/>
          <w:lang w:val="uk-UA"/>
        </w:rPr>
      </w:pPr>
      <w:r>
        <w:rPr>
          <w:rFonts w:ascii="Times New Roman" w:hAnsi="Times New Roman"/>
          <w:b/>
          <w:sz w:val="26"/>
          <w:lang w:val="uk-UA"/>
        </w:rPr>
        <w:t>II. Цілі державного регулювання</w:t>
      </w:r>
    </w:p>
    <w:p w14:paraId="076773E0" w14:textId="77777777" w:rsidR="00430922" w:rsidRDefault="00430922">
      <w:pPr>
        <w:spacing w:after="0" w:line="240" w:lineRule="auto"/>
        <w:ind w:firstLine="720"/>
        <w:jc w:val="both"/>
        <w:rPr>
          <w:rFonts w:ascii="Times New Roman" w:hAnsi="Times New Roman"/>
          <w:b/>
          <w:sz w:val="26"/>
          <w:lang w:val="uk-UA"/>
        </w:rPr>
      </w:pPr>
    </w:p>
    <w:p w14:paraId="26D516F1"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Цілями державного регулювання є подолання визначеної проблеми шляхом:</w:t>
      </w:r>
    </w:p>
    <w:p w14:paraId="57DDE8BA"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lastRenderedPageBreak/>
        <w:t>1) реалізації положень Закону України “Про соціальний і правовий захист військовослужбовців та членів їх сімей”;</w:t>
      </w:r>
    </w:p>
    <w:p w14:paraId="773604DA"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2) реалізації </w:t>
      </w:r>
      <w:r>
        <w:rPr>
          <w:rStyle w:val="4"/>
          <w:rFonts w:ascii="Times New Roman" w:hAnsi="Times New Roman"/>
          <w:sz w:val="26"/>
          <w:lang w:val="uk-UA"/>
        </w:rPr>
        <w:t>Закону України “Про внесення змін до деяких законодавчих актів України у зв’язку з внесенням змін до Закону України “Про статус ветеранів війни, гарантії їх соціального захисту”;</w:t>
      </w:r>
    </w:p>
    <w:p w14:paraId="6E6524DD"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3) забезпечення регулювання відносин у сфері охорони психічного здоров’я ветеранів війни;</w:t>
      </w:r>
    </w:p>
    <w:p w14:paraId="39443449"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4) визначення рівнів надання психологічної допомоги ветеранам війни відповідно до рекомендацій ВООЗ та міжнародного досвіду;</w:t>
      </w:r>
    </w:p>
    <w:p w14:paraId="0896B40F"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5) визначення вимог до суб’єктів надання послуг;</w:t>
      </w:r>
    </w:p>
    <w:p w14:paraId="18864745"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6) створення умов для застосування ринкових або неринкових механізмів побудови багаторівневої системи психологічної допомоги ветеранам війни;</w:t>
      </w:r>
    </w:p>
    <w:p w14:paraId="7268CECC"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7) забезпечення якості психологічної допомоги ветеранам війни шляхом проведення низки заходів з відбору суб’єктів надання послуг, періодичного моніторингу та оцінки якості відповідних послуг.</w:t>
      </w:r>
    </w:p>
    <w:p w14:paraId="39D252CF" w14:textId="77777777" w:rsidR="00430922" w:rsidRDefault="00430922">
      <w:pPr>
        <w:spacing w:after="0" w:line="240" w:lineRule="auto"/>
        <w:ind w:firstLine="720"/>
        <w:jc w:val="both"/>
        <w:rPr>
          <w:rFonts w:ascii="Times New Roman" w:hAnsi="Times New Roman"/>
          <w:sz w:val="26"/>
          <w:lang w:val="uk-UA"/>
        </w:rPr>
      </w:pPr>
    </w:p>
    <w:p w14:paraId="54BF9BDA" w14:textId="77777777" w:rsidR="00430922" w:rsidRDefault="00000000">
      <w:pPr>
        <w:spacing w:after="0" w:line="240" w:lineRule="auto"/>
        <w:ind w:firstLine="720"/>
        <w:jc w:val="both"/>
        <w:rPr>
          <w:rFonts w:ascii="Times New Roman" w:hAnsi="Times New Roman"/>
          <w:b/>
          <w:sz w:val="26"/>
          <w:lang w:val="uk-UA"/>
        </w:rPr>
      </w:pPr>
      <w:r>
        <w:rPr>
          <w:rFonts w:ascii="Times New Roman" w:hAnsi="Times New Roman"/>
          <w:b/>
          <w:sz w:val="26"/>
          <w:lang w:val="uk-UA"/>
        </w:rPr>
        <w:t>ІІІ. Визначення та оцінка альтернативних способів досягнення цілей</w:t>
      </w:r>
    </w:p>
    <w:p w14:paraId="55CACD11" w14:textId="77777777" w:rsidR="00430922" w:rsidRDefault="00430922">
      <w:pPr>
        <w:spacing w:after="0" w:line="240" w:lineRule="auto"/>
        <w:ind w:firstLine="720"/>
        <w:jc w:val="both"/>
        <w:rPr>
          <w:rFonts w:ascii="Times New Roman" w:hAnsi="Times New Roman"/>
          <w:b/>
          <w:sz w:val="26"/>
          <w:lang w:val="uk-UA"/>
        </w:rPr>
      </w:pPr>
    </w:p>
    <w:p w14:paraId="6029DAF8"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1. Визначення альтернативних способів.</w:t>
      </w:r>
    </w:p>
    <w:p w14:paraId="40C2351C" w14:textId="77777777" w:rsidR="00430922"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2689"/>
        <w:gridCol w:w="6945"/>
      </w:tblGrid>
      <w:tr w:rsidR="00430922" w14:paraId="57D08F30" w14:textId="77777777">
        <w:tc>
          <w:tcPr>
            <w:tcW w:w="2689" w:type="dxa"/>
          </w:tcPr>
          <w:p w14:paraId="757C44EA" w14:textId="77777777" w:rsidR="00430922" w:rsidRDefault="00000000">
            <w:pPr>
              <w:jc w:val="center"/>
              <w:rPr>
                <w:rFonts w:ascii="Times New Roman" w:hAnsi="Times New Roman"/>
                <w:b/>
                <w:sz w:val="26"/>
                <w:lang w:val="uk-UA"/>
              </w:rPr>
            </w:pPr>
            <w:r>
              <w:rPr>
                <w:rFonts w:ascii="Times New Roman" w:hAnsi="Times New Roman"/>
                <w:b/>
                <w:sz w:val="26"/>
                <w:lang w:val="uk-UA"/>
              </w:rPr>
              <w:t>Вид альтернативи</w:t>
            </w:r>
          </w:p>
        </w:tc>
        <w:tc>
          <w:tcPr>
            <w:tcW w:w="6945" w:type="dxa"/>
          </w:tcPr>
          <w:p w14:paraId="3B6CCBBB" w14:textId="77777777" w:rsidR="00430922" w:rsidRDefault="00000000">
            <w:pPr>
              <w:jc w:val="center"/>
              <w:rPr>
                <w:rFonts w:ascii="Times New Roman" w:hAnsi="Times New Roman"/>
                <w:b/>
                <w:sz w:val="26"/>
                <w:lang w:val="uk-UA"/>
              </w:rPr>
            </w:pPr>
            <w:r>
              <w:rPr>
                <w:rFonts w:ascii="Times New Roman" w:hAnsi="Times New Roman"/>
                <w:b/>
                <w:sz w:val="26"/>
                <w:lang w:val="uk-UA"/>
              </w:rPr>
              <w:t>Опис альтернативи</w:t>
            </w:r>
          </w:p>
        </w:tc>
      </w:tr>
      <w:tr w:rsidR="00430922" w:rsidRPr="00735CCD" w14:paraId="2A9B7B78" w14:textId="77777777">
        <w:tc>
          <w:tcPr>
            <w:tcW w:w="2689" w:type="dxa"/>
          </w:tcPr>
          <w:p w14:paraId="7711FE80"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1</w:t>
            </w:r>
          </w:p>
        </w:tc>
        <w:tc>
          <w:tcPr>
            <w:tcW w:w="6945" w:type="dxa"/>
          </w:tcPr>
          <w:p w14:paraId="085D5B15" w14:textId="77777777" w:rsidR="00430922" w:rsidRDefault="00000000">
            <w:pPr>
              <w:jc w:val="both"/>
              <w:rPr>
                <w:rFonts w:ascii="Times New Roman" w:hAnsi="Times New Roman"/>
                <w:sz w:val="26"/>
                <w:lang w:val="uk-UA"/>
              </w:rPr>
            </w:pPr>
            <w:r>
              <w:rPr>
                <w:rFonts w:ascii="Times New Roman" w:hAnsi="Times New Roman"/>
                <w:sz w:val="26"/>
                <w:lang w:val="uk-UA"/>
              </w:rPr>
              <w:t xml:space="preserve">Прийняття проєкту постанови. </w:t>
            </w:r>
          </w:p>
          <w:p w14:paraId="007BDB5F" w14:textId="77777777" w:rsidR="00430922" w:rsidRDefault="00000000">
            <w:pPr>
              <w:jc w:val="both"/>
              <w:rPr>
                <w:rFonts w:ascii="Times New Roman" w:hAnsi="Times New Roman"/>
                <w:sz w:val="26"/>
                <w:lang w:val="uk-UA"/>
              </w:rPr>
            </w:pPr>
            <w:r>
              <w:rPr>
                <w:rFonts w:ascii="Times New Roman" w:hAnsi="Times New Roman"/>
                <w:sz w:val="26"/>
                <w:lang w:val="uk-UA"/>
              </w:rPr>
              <w:t>Прийняття проєкту постанови забезпечить досягнення вищезгаданих цілей державного регулювання, що, у свою чергу, забезпечить створення системи державного регулювання відносин у сфері охорони психічного здоров’я ветеранів війни, а також виконання зобов’язань держави відносно своїх Захисників та Захисниць, та стане ще одним кроком на шляху до посилення обороноздатності України і на її шляху до ЄС.</w:t>
            </w:r>
          </w:p>
        </w:tc>
      </w:tr>
      <w:tr w:rsidR="00430922" w:rsidRPr="00735CCD" w14:paraId="772FBA1F" w14:textId="77777777">
        <w:tc>
          <w:tcPr>
            <w:tcW w:w="2689" w:type="dxa"/>
          </w:tcPr>
          <w:p w14:paraId="29DC67AA"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2</w:t>
            </w:r>
          </w:p>
        </w:tc>
        <w:tc>
          <w:tcPr>
            <w:tcW w:w="6945" w:type="dxa"/>
          </w:tcPr>
          <w:p w14:paraId="0781A52A" w14:textId="77777777" w:rsidR="00430922" w:rsidRDefault="00000000">
            <w:pPr>
              <w:jc w:val="both"/>
              <w:rPr>
                <w:rFonts w:ascii="Times New Roman" w:hAnsi="Times New Roman"/>
                <w:sz w:val="26"/>
                <w:lang w:val="uk-UA"/>
              </w:rPr>
            </w:pPr>
            <w:r>
              <w:rPr>
                <w:rFonts w:ascii="Times New Roman" w:hAnsi="Times New Roman"/>
                <w:sz w:val="26"/>
                <w:lang w:val="uk-UA"/>
              </w:rPr>
              <w:t xml:space="preserve">Залишення наявної ситуації без змін. </w:t>
            </w:r>
          </w:p>
          <w:p w14:paraId="13A9E12A" w14:textId="77777777" w:rsidR="00430922" w:rsidRDefault="00000000">
            <w:pPr>
              <w:jc w:val="both"/>
              <w:rPr>
                <w:rFonts w:ascii="Times New Roman" w:hAnsi="Times New Roman"/>
                <w:sz w:val="26"/>
                <w:lang w:val="uk-UA"/>
              </w:rPr>
            </w:pPr>
            <w:r>
              <w:rPr>
                <w:rFonts w:ascii="Times New Roman" w:hAnsi="Times New Roman"/>
                <w:sz w:val="26"/>
                <w:lang w:val="uk-UA"/>
              </w:rPr>
              <w:t>У випадку залишення ситуації, що склалася, без змін, поставлені цілі державного регулювання не будуть досягнуті і вищезазначена проблема у сфері охорони психічного здоров’я ветеранів війни не буде вирішена. За таких умов в Україні не буде створено багаторівневу систему психологічної допомоги ветеранам війни. Положення Законів України “Про соціальний і правовий захист військовослужбовців та членів їх сімей” та “Про внесення змін до деяких законодавчих актів України у зв’язку з внесенням змін до Закону України “Про статус ветеранів війни, гарантії їх соціального захисту” будуть невиконані, що також може призвести до негативної реакції з боку ветеранської спільноти та призвести до соціальної напруги.</w:t>
            </w:r>
          </w:p>
        </w:tc>
      </w:tr>
    </w:tbl>
    <w:p w14:paraId="7D041FBF" w14:textId="77777777" w:rsidR="00430922" w:rsidRDefault="00430922">
      <w:pPr>
        <w:spacing w:after="0" w:line="240" w:lineRule="auto"/>
        <w:ind w:firstLine="720"/>
        <w:jc w:val="both"/>
        <w:rPr>
          <w:rFonts w:ascii="Times New Roman" w:hAnsi="Times New Roman"/>
          <w:sz w:val="26"/>
          <w:lang w:val="uk-UA"/>
        </w:rPr>
      </w:pPr>
    </w:p>
    <w:p w14:paraId="2242DAF3"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lastRenderedPageBreak/>
        <w:t>2. Оцінка вибраних альтернативних способів досягнення цілей.</w:t>
      </w:r>
    </w:p>
    <w:p w14:paraId="79D659CA"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Оцінка впливу на сферу інтересів держави</w:t>
      </w:r>
    </w:p>
    <w:p w14:paraId="2F3F9F75" w14:textId="77777777" w:rsidR="00430922"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2263"/>
        <w:gridCol w:w="3969"/>
        <w:gridCol w:w="3402"/>
      </w:tblGrid>
      <w:tr w:rsidR="00430922" w14:paraId="270A8C25" w14:textId="77777777">
        <w:tc>
          <w:tcPr>
            <w:tcW w:w="2263" w:type="dxa"/>
          </w:tcPr>
          <w:p w14:paraId="36D515C2" w14:textId="77777777" w:rsidR="00430922" w:rsidRDefault="00000000">
            <w:pPr>
              <w:jc w:val="center"/>
              <w:rPr>
                <w:rFonts w:ascii="Times New Roman" w:hAnsi="Times New Roman"/>
                <w:b/>
                <w:sz w:val="26"/>
                <w:lang w:val="uk-UA"/>
              </w:rPr>
            </w:pPr>
            <w:r>
              <w:rPr>
                <w:rFonts w:ascii="Times New Roman" w:hAnsi="Times New Roman"/>
                <w:b/>
                <w:sz w:val="26"/>
                <w:lang w:val="uk-UA"/>
              </w:rPr>
              <w:t>Вид альтернативи</w:t>
            </w:r>
          </w:p>
        </w:tc>
        <w:tc>
          <w:tcPr>
            <w:tcW w:w="3969" w:type="dxa"/>
          </w:tcPr>
          <w:p w14:paraId="27B08D8B" w14:textId="77777777" w:rsidR="00430922" w:rsidRDefault="00000000">
            <w:pPr>
              <w:jc w:val="center"/>
              <w:rPr>
                <w:rFonts w:ascii="Times New Roman" w:hAnsi="Times New Roman"/>
                <w:b/>
                <w:sz w:val="26"/>
                <w:lang w:val="uk-UA"/>
              </w:rPr>
            </w:pPr>
            <w:r>
              <w:rPr>
                <w:rFonts w:ascii="Times New Roman" w:hAnsi="Times New Roman"/>
                <w:b/>
                <w:sz w:val="26"/>
                <w:lang w:val="uk-UA"/>
              </w:rPr>
              <w:t>Вигоди</w:t>
            </w:r>
          </w:p>
        </w:tc>
        <w:tc>
          <w:tcPr>
            <w:tcW w:w="3402" w:type="dxa"/>
          </w:tcPr>
          <w:p w14:paraId="3B32CDB6" w14:textId="77777777" w:rsidR="00430922" w:rsidRDefault="00000000">
            <w:pPr>
              <w:jc w:val="center"/>
              <w:rPr>
                <w:rFonts w:ascii="Times New Roman" w:hAnsi="Times New Roman"/>
                <w:b/>
                <w:sz w:val="26"/>
                <w:lang w:val="uk-UA"/>
              </w:rPr>
            </w:pPr>
            <w:r>
              <w:rPr>
                <w:rFonts w:ascii="Times New Roman" w:hAnsi="Times New Roman"/>
                <w:b/>
                <w:sz w:val="26"/>
                <w:lang w:val="uk-UA"/>
              </w:rPr>
              <w:t>Витрати</w:t>
            </w:r>
          </w:p>
        </w:tc>
      </w:tr>
      <w:tr w:rsidR="00430922" w:rsidRPr="00735CCD" w14:paraId="7EE32F13" w14:textId="77777777">
        <w:tc>
          <w:tcPr>
            <w:tcW w:w="2263" w:type="dxa"/>
          </w:tcPr>
          <w:p w14:paraId="5AAF36CA"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1</w:t>
            </w:r>
          </w:p>
        </w:tc>
        <w:tc>
          <w:tcPr>
            <w:tcW w:w="3969" w:type="dxa"/>
          </w:tcPr>
          <w:p w14:paraId="0ED5CAF0" w14:textId="77777777" w:rsidR="00430922" w:rsidRDefault="00000000">
            <w:pPr>
              <w:jc w:val="both"/>
              <w:rPr>
                <w:rFonts w:ascii="Times New Roman" w:hAnsi="Times New Roman"/>
                <w:sz w:val="26"/>
                <w:lang w:val="uk-UA"/>
              </w:rPr>
            </w:pPr>
            <w:r>
              <w:rPr>
                <w:rFonts w:ascii="Times New Roman" w:hAnsi="Times New Roman"/>
                <w:sz w:val="26"/>
                <w:lang w:val="uk-UA"/>
              </w:rPr>
              <w:t>Створення сучасної багаторівневої системи психологічної допомоги ветеранам війни, що відповідає міжнародним критеріям та стандартам. Утворення у закладах охорони здоров’я мультидисциплінарних команд фахівців, які на основі кейс-менеджменту надають якісні послуги з психологічної реабілітації, що відповідає сучасним вимогам до організації реабілітаційного процесу.</w:t>
            </w:r>
          </w:p>
          <w:p w14:paraId="3AD70DB6" w14:textId="77777777" w:rsidR="00430922" w:rsidRDefault="00000000">
            <w:pPr>
              <w:jc w:val="both"/>
              <w:rPr>
                <w:rFonts w:ascii="Times New Roman" w:hAnsi="Times New Roman"/>
                <w:sz w:val="26"/>
                <w:lang w:val="uk-UA"/>
              </w:rPr>
            </w:pPr>
            <w:r>
              <w:rPr>
                <w:rFonts w:ascii="Times New Roman" w:hAnsi="Times New Roman"/>
                <w:sz w:val="26"/>
                <w:lang w:val="uk-UA"/>
              </w:rPr>
              <w:t>Створення умов для застосування ринкових або неринкових механізмів побудови багаторівневої системи психологічної допомоги ветеранам війни. Забезпечення доступності і якості психологічної допомоги.</w:t>
            </w:r>
          </w:p>
          <w:p w14:paraId="6735E59E" w14:textId="77777777" w:rsidR="00430922" w:rsidRDefault="00000000">
            <w:pPr>
              <w:jc w:val="both"/>
              <w:rPr>
                <w:rFonts w:ascii="Times New Roman" w:hAnsi="Times New Roman"/>
                <w:sz w:val="26"/>
                <w:lang w:val="uk-UA"/>
              </w:rPr>
            </w:pPr>
            <w:r>
              <w:rPr>
                <w:rFonts w:ascii="Times New Roman" w:hAnsi="Times New Roman"/>
                <w:sz w:val="26"/>
                <w:lang w:val="uk-UA"/>
              </w:rPr>
              <w:t>Покращення внутріполітичного клімату України.</w:t>
            </w:r>
          </w:p>
          <w:p w14:paraId="19B6CAD3" w14:textId="77777777" w:rsidR="00430922" w:rsidRDefault="00000000">
            <w:pPr>
              <w:jc w:val="both"/>
              <w:rPr>
                <w:rFonts w:ascii="Times New Roman" w:hAnsi="Times New Roman"/>
                <w:sz w:val="26"/>
                <w:lang w:val="uk-UA"/>
              </w:rPr>
            </w:pPr>
            <w:r>
              <w:rPr>
                <w:rFonts w:ascii="Times New Roman" w:hAnsi="Times New Roman"/>
                <w:sz w:val="26"/>
                <w:lang w:val="uk-UA"/>
              </w:rPr>
              <w:t>Вчасна та якісна психологічна допомога Захисникам та Захисницям – запорука посилення обороноздатності України.</w:t>
            </w:r>
          </w:p>
          <w:p w14:paraId="148FADC3" w14:textId="77777777" w:rsidR="00430922" w:rsidRDefault="00000000">
            <w:pPr>
              <w:jc w:val="both"/>
              <w:rPr>
                <w:rFonts w:ascii="Times New Roman" w:hAnsi="Times New Roman"/>
                <w:b/>
                <w:sz w:val="26"/>
                <w:lang w:val="uk-UA"/>
              </w:rPr>
            </w:pPr>
            <w:r>
              <w:rPr>
                <w:rFonts w:ascii="Times New Roman" w:hAnsi="Times New Roman"/>
                <w:sz w:val="26"/>
                <w:lang w:val="uk-UA"/>
              </w:rPr>
              <w:t>Побудова системи раннього виявлення та запобігання психічним розладам серед ветеранів війни, що призводить до зменшення кількості госпіталізацій та інвалідизації, а відтак зменшує витрати держави на ці заходи.</w:t>
            </w:r>
          </w:p>
        </w:tc>
        <w:tc>
          <w:tcPr>
            <w:tcW w:w="3402" w:type="dxa"/>
          </w:tcPr>
          <w:p w14:paraId="6709D2A7" w14:textId="77777777" w:rsidR="00430922" w:rsidRDefault="00000000">
            <w:pPr>
              <w:jc w:val="both"/>
              <w:rPr>
                <w:rFonts w:ascii="Times New Roman" w:hAnsi="Times New Roman"/>
                <w:sz w:val="26"/>
                <w:lang w:val="uk-UA"/>
              </w:rPr>
            </w:pPr>
            <w:r>
              <w:rPr>
                <w:rFonts w:ascii="Times New Roman" w:hAnsi="Times New Roman"/>
                <w:sz w:val="26"/>
                <w:lang w:val="uk-UA"/>
              </w:rPr>
              <w:t xml:space="preserve">Орієнтовна потреба коштів на 2023 рік складатиме на рівні 2022 року – 75874,0 тис. грн, оскільки загальна кількість ветеранів війни у 2023 році значно зросте (понад 40 тис. осіб). </w:t>
            </w:r>
          </w:p>
        </w:tc>
      </w:tr>
      <w:tr w:rsidR="00430922" w:rsidRPr="00735CCD" w14:paraId="412E72BE" w14:textId="77777777">
        <w:tc>
          <w:tcPr>
            <w:tcW w:w="2263" w:type="dxa"/>
          </w:tcPr>
          <w:p w14:paraId="6C91E702"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2</w:t>
            </w:r>
          </w:p>
        </w:tc>
        <w:tc>
          <w:tcPr>
            <w:tcW w:w="3969" w:type="dxa"/>
          </w:tcPr>
          <w:p w14:paraId="3458225A" w14:textId="77777777" w:rsidR="00430922" w:rsidRDefault="00000000">
            <w:pPr>
              <w:jc w:val="both"/>
              <w:rPr>
                <w:rFonts w:ascii="Times New Roman" w:hAnsi="Times New Roman"/>
                <w:sz w:val="26"/>
                <w:lang w:val="uk-UA"/>
              </w:rPr>
            </w:pPr>
            <w:r>
              <w:rPr>
                <w:rFonts w:ascii="Times New Roman" w:hAnsi="Times New Roman"/>
                <w:sz w:val="26"/>
                <w:lang w:val="uk-UA"/>
              </w:rPr>
              <w:t>Не передбачаються</w:t>
            </w:r>
          </w:p>
        </w:tc>
        <w:tc>
          <w:tcPr>
            <w:tcW w:w="3402" w:type="dxa"/>
          </w:tcPr>
          <w:p w14:paraId="342A9C74" w14:textId="77777777" w:rsidR="00430922" w:rsidRDefault="00000000">
            <w:pPr>
              <w:jc w:val="both"/>
              <w:rPr>
                <w:rFonts w:ascii="Times New Roman" w:hAnsi="Times New Roman"/>
                <w:sz w:val="26"/>
                <w:lang w:val="uk-UA"/>
              </w:rPr>
            </w:pPr>
            <w:r>
              <w:rPr>
                <w:rFonts w:ascii="Times New Roman" w:hAnsi="Times New Roman"/>
                <w:sz w:val="26"/>
                <w:lang w:val="uk-UA"/>
              </w:rPr>
              <w:t xml:space="preserve">Орієнтовна потреба коштів на 2023 рік складатиме на </w:t>
            </w:r>
            <w:r>
              <w:rPr>
                <w:rFonts w:ascii="Times New Roman" w:hAnsi="Times New Roman"/>
                <w:sz w:val="26"/>
                <w:lang w:val="uk-UA"/>
              </w:rPr>
              <w:lastRenderedPageBreak/>
              <w:t>рівні 2022 року – 75874,0 тис. грн.</w:t>
            </w:r>
          </w:p>
          <w:p w14:paraId="61C0EC19" w14:textId="77777777" w:rsidR="00430922" w:rsidRDefault="00430922">
            <w:pPr>
              <w:jc w:val="both"/>
              <w:rPr>
                <w:rFonts w:ascii="Times New Roman" w:hAnsi="Times New Roman"/>
                <w:sz w:val="26"/>
                <w:lang w:val="uk-UA"/>
              </w:rPr>
            </w:pPr>
          </w:p>
        </w:tc>
      </w:tr>
    </w:tbl>
    <w:p w14:paraId="2DF4BFF0" w14:textId="77777777" w:rsidR="00430922" w:rsidRDefault="00430922">
      <w:pPr>
        <w:spacing w:after="0" w:line="240" w:lineRule="auto"/>
        <w:ind w:firstLine="720"/>
        <w:jc w:val="both"/>
        <w:rPr>
          <w:rFonts w:ascii="Times New Roman" w:hAnsi="Times New Roman"/>
          <w:sz w:val="26"/>
          <w:lang w:val="uk-UA"/>
        </w:rPr>
      </w:pPr>
    </w:p>
    <w:p w14:paraId="217416A8"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Оцінка впливу на сферу інтересів громадян.</w:t>
      </w:r>
    </w:p>
    <w:p w14:paraId="7D95F4E8" w14:textId="77777777" w:rsidR="00430922"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2263"/>
        <w:gridCol w:w="3969"/>
        <w:gridCol w:w="3402"/>
      </w:tblGrid>
      <w:tr w:rsidR="00430922" w14:paraId="619A19FF" w14:textId="77777777">
        <w:tc>
          <w:tcPr>
            <w:tcW w:w="2263" w:type="dxa"/>
          </w:tcPr>
          <w:p w14:paraId="7CE16C3A" w14:textId="77777777" w:rsidR="00430922" w:rsidRDefault="00000000">
            <w:pPr>
              <w:jc w:val="center"/>
              <w:rPr>
                <w:rFonts w:ascii="Times New Roman" w:hAnsi="Times New Roman"/>
                <w:b/>
                <w:sz w:val="26"/>
                <w:lang w:val="uk-UA"/>
              </w:rPr>
            </w:pPr>
            <w:r>
              <w:rPr>
                <w:rFonts w:ascii="Times New Roman" w:hAnsi="Times New Roman"/>
                <w:b/>
                <w:sz w:val="26"/>
                <w:lang w:val="uk-UA"/>
              </w:rPr>
              <w:t>Вид альтернативи</w:t>
            </w:r>
          </w:p>
        </w:tc>
        <w:tc>
          <w:tcPr>
            <w:tcW w:w="3969" w:type="dxa"/>
          </w:tcPr>
          <w:p w14:paraId="6F01E853" w14:textId="77777777" w:rsidR="00430922" w:rsidRDefault="00000000">
            <w:pPr>
              <w:jc w:val="center"/>
              <w:rPr>
                <w:rFonts w:ascii="Times New Roman" w:hAnsi="Times New Roman"/>
                <w:b/>
                <w:sz w:val="26"/>
                <w:lang w:val="uk-UA"/>
              </w:rPr>
            </w:pPr>
            <w:r>
              <w:rPr>
                <w:rFonts w:ascii="Times New Roman" w:hAnsi="Times New Roman"/>
                <w:b/>
                <w:sz w:val="26"/>
                <w:lang w:val="uk-UA"/>
              </w:rPr>
              <w:t>Вигоди</w:t>
            </w:r>
          </w:p>
        </w:tc>
        <w:tc>
          <w:tcPr>
            <w:tcW w:w="3402" w:type="dxa"/>
          </w:tcPr>
          <w:p w14:paraId="373AB0B6" w14:textId="77777777" w:rsidR="00430922" w:rsidRDefault="00000000">
            <w:pPr>
              <w:jc w:val="center"/>
              <w:rPr>
                <w:rFonts w:ascii="Times New Roman" w:hAnsi="Times New Roman"/>
                <w:b/>
                <w:sz w:val="26"/>
                <w:lang w:val="uk-UA"/>
              </w:rPr>
            </w:pPr>
            <w:r>
              <w:rPr>
                <w:rFonts w:ascii="Times New Roman" w:hAnsi="Times New Roman"/>
                <w:b/>
                <w:sz w:val="26"/>
                <w:lang w:val="uk-UA"/>
              </w:rPr>
              <w:t>Витрати</w:t>
            </w:r>
          </w:p>
        </w:tc>
      </w:tr>
      <w:tr w:rsidR="00430922" w:rsidRPr="00735CCD" w14:paraId="4B624659" w14:textId="77777777">
        <w:tc>
          <w:tcPr>
            <w:tcW w:w="2263" w:type="dxa"/>
          </w:tcPr>
          <w:p w14:paraId="6FE42A58"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1</w:t>
            </w:r>
          </w:p>
        </w:tc>
        <w:tc>
          <w:tcPr>
            <w:tcW w:w="3969" w:type="dxa"/>
          </w:tcPr>
          <w:p w14:paraId="1F396297" w14:textId="77777777" w:rsidR="00430922" w:rsidRDefault="00000000">
            <w:pPr>
              <w:jc w:val="both"/>
              <w:rPr>
                <w:rFonts w:ascii="Times New Roman" w:hAnsi="Times New Roman"/>
                <w:sz w:val="26"/>
                <w:lang w:val="uk-UA"/>
              </w:rPr>
            </w:pPr>
            <w:r>
              <w:rPr>
                <w:rFonts w:ascii="Times New Roman" w:hAnsi="Times New Roman"/>
                <w:sz w:val="26"/>
                <w:lang w:val="uk-UA"/>
              </w:rPr>
              <w:t xml:space="preserve">Забезпечено індивідуальний підхід і доступність психологічної допомоги, що передбачає </w:t>
            </w:r>
            <w:r>
              <w:rPr>
                <w:rStyle w:val="4"/>
                <w:rFonts w:ascii="Times New Roman" w:hAnsi="Times New Roman"/>
                <w:sz w:val="26"/>
                <w:lang w:val="uk-UA"/>
              </w:rPr>
              <w:t xml:space="preserve">надання оптимальних послуг </w:t>
            </w:r>
            <w:r>
              <w:rPr>
                <w:lang w:val="uk-UA"/>
              </w:rPr>
              <w:t>(</w:t>
            </w:r>
            <w:r>
              <w:rPr>
                <w:rFonts w:ascii="Times New Roman" w:hAnsi="Times New Roman"/>
                <w:sz w:val="26"/>
                <w:lang w:val="uk-UA"/>
              </w:rPr>
              <w:t>психосоціальна підтримка, психологічна реабілітація чи комплексна медико-психологічна реабілітація) відповідно до потреби,</w:t>
            </w:r>
            <w:r>
              <w:rPr>
                <w:rStyle w:val="4"/>
                <w:lang w:val="uk-UA"/>
              </w:rPr>
              <w:t xml:space="preserve"> </w:t>
            </w:r>
            <w:r>
              <w:rPr>
                <w:rStyle w:val="4"/>
                <w:rFonts w:ascii="Times New Roman" w:hAnsi="Times New Roman"/>
                <w:sz w:val="26"/>
                <w:lang w:val="uk-UA"/>
              </w:rPr>
              <w:t>у слушний час, якомога раніше і з мінімальною інтенсивністю.</w:t>
            </w:r>
            <w:r>
              <w:rPr>
                <w:rFonts w:ascii="Times New Roman" w:hAnsi="Times New Roman"/>
                <w:sz w:val="26"/>
                <w:lang w:val="uk-UA"/>
              </w:rPr>
              <w:t xml:space="preserve"> </w:t>
            </w:r>
          </w:p>
          <w:p w14:paraId="7787EEA1" w14:textId="77777777" w:rsidR="00430922" w:rsidRDefault="00000000">
            <w:pPr>
              <w:jc w:val="both"/>
              <w:rPr>
                <w:rFonts w:ascii="Times New Roman" w:hAnsi="Times New Roman"/>
                <w:sz w:val="26"/>
                <w:lang w:val="uk-UA"/>
              </w:rPr>
            </w:pPr>
            <w:r>
              <w:rPr>
                <w:rFonts w:ascii="Times New Roman" w:hAnsi="Times New Roman"/>
                <w:sz w:val="26"/>
                <w:lang w:val="uk-UA"/>
              </w:rPr>
              <w:t>Забезпечення наступність психологічної допомоги, що передбачає можливість перенаправлення отримувача послуг для отримання психологічної допомоги іншого рівня (як від нижчого до вищого, так і від вищого до нижчого).</w:t>
            </w:r>
          </w:p>
          <w:p w14:paraId="34DA8409" w14:textId="77777777" w:rsidR="00430922" w:rsidRDefault="00000000">
            <w:pPr>
              <w:jc w:val="both"/>
              <w:rPr>
                <w:rFonts w:ascii="Times New Roman" w:hAnsi="Times New Roman"/>
                <w:sz w:val="26"/>
                <w:lang w:val="uk-UA"/>
              </w:rPr>
            </w:pPr>
            <w:r>
              <w:rPr>
                <w:rFonts w:ascii="Times New Roman" w:hAnsi="Times New Roman"/>
                <w:sz w:val="26"/>
                <w:lang w:val="uk-UA"/>
              </w:rPr>
              <w:t>Позитивний вплив на здоров’я, безпеку, права та гідність громадян.</w:t>
            </w:r>
          </w:p>
          <w:p w14:paraId="3E081653" w14:textId="77777777" w:rsidR="00430922" w:rsidRDefault="00430922">
            <w:pPr>
              <w:jc w:val="both"/>
              <w:rPr>
                <w:rFonts w:ascii="Times New Roman" w:hAnsi="Times New Roman"/>
                <w:sz w:val="26"/>
                <w:lang w:val="uk-UA"/>
              </w:rPr>
            </w:pPr>
          </w:p>
        </w:tc>
        <w:tc>
          <w:tcPr>
            <w:tcW w:w="3402" w:type="dxa"/>
          </w:tcPr>
          <w:p w14:paraId="574D4BD0" w14:textId="77777777" w:rsidR="00430922" w:rsidRDefault="00000000">
            <w:pPr>
              <w:jc w:val="both"/>
              <w:rPr>
                <w:rFonts w:ascii="Times New Roman" w:hAnsi="Times New Roman"/>
                <w:sz w:val="26"/>
                <w:lang w:val="uk-UA"/>
              </w:rPr>
            </w:pPr>
            <w:r>
              <w:rPr>
                <w:rFonts w:ascii="Times New Roman" w:hAnsi="Times New Roman"/>
                <w:sz w:val="26"/>
                <w:lang w:val="uk-UA"/>
              </w:rPr>
              <w:t xml:space="preserve">Орієнтовна потреба коштів на 2023 рік складатиме на рівні 2022 року – 75874,0 тис. грн, оскільки загальна кількість ветеранів війни у 2023 році значно зросте (понад 40 тис. осіб). </w:t>
            </w:r>
          </w:p>
        </w:tc>
      </w:tr>
      <w:tr w:rsidR="00430922" w:rsidRPr="00735CCD" w14:paraId="50F5B7ED" w14:textId="77777777">
        <w:tc>
          <w:tcPr>
            <w:tcW w:w="2263" w:type="dxa"/>
          </w:tcPr>
          <w:p w14:paraId="1431B1BB"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2</w:t>
            </w:r>
          </w:p>
        </w:tc>
        <w:tc>
          <w:tcPr>
            <w:tcW w:w="3969" w:type="dxa"/>
          </w:tcPr>
          <w:p w14:paraId="517C0DE7" w14:textId="77777777" w:rsidR="00430922" w:rsidRDefault="00000000">
            <w:pPr>
              <w:jc w:val="both"/>
              <w:rPr>
                <w:rFonts w:ascii="Times New Roman" w:hAnsi="Times New Roman"/>
                <w:sz w:val="26"/>
                <w:lang w:val="uk-UA"/>
              </w:rPr>
            </w:pPr>
            <w:r>
              <w:rPr>
                <w:rFonts w:ascii="Times New Roman" w:hAnsi="Times New Roman"/>
                <w:sz w:val="26"/>
                <w:lang w:val="uk-UA"/>
              </w:rPr>
              <w:t>Не передбачаються</w:t>
            </w:r>
          </w:p>
        </w:tc>
        <w:tc>
          <w:tcPr>
            <w:tcW w:w="3402" w:type="dxa"/>
          </w:tcPr>
          <w:p w14:paraId="1F2E2EE3" w14:textId="77777777" w:rsidR="00430922" w:rsidRDefault="00000000">
            <w:pPr>
              <w:jc w:val="both"/>
              <w:rPr>
                <w:rFonts w:ascii="Times New Roman" w:hAnsi="Times New Roman"/>
                <w:sz w:val="26"/>
                <w:lang w:val="uk-UA"/>
              </w:rPr>
            </w:pPr>
            <w:r>
              <w:rPr>
                <w:rFonts w:ascii="Times New Roman" w:hAnsi="Times New Roman"/>
                <w:sz w:val="26"/>
                <w:lang w:val="uk-UA"/>
              </w:rPr>
              <w:t>Орієнтовна потреба коштів на 2023 рік складатиме на рівні 2022 року – 75874,0 тис. грн.</w:t>
            </w:r>
          </w:p>
          <w:p w14:paraId="49C97762" w14:textId="77777777" w:rsidR="00430922" w:rsidRDefault="00430922">
            <w:pPr>
              <w:jc w:val="both"/>
              <w:rPr>
                <w:rFonts w:ascii="Times New Roman" w:hAnsi="Times New Roman"/>
                <w:sz w:val="26"/>
                <w:lang w:val="uk-UA"/>
              </w:rPr>
            </w:pPr>
          </w:p>
        </w:tc>
      </w:tr>
    </w:tbl>
    <w:p w14:paraId="7D9DEA51" w14:textId="77777777" w:rsidR="00430922" w:rsidRDefault="00430922">
      <w:pPr>
        <w:spacing w:after="0" w:line="240" w:lineRule="auto"/>
        <w:ind w:firstLine="720"/>
        <w:jc w:val="both"/>
        <w:rPr>
          <w:rFonts w:ascii="Times New Roman" w:hAnsi="Times New Roman"/>
          <w:sz w:val="26"/>
          <w:lang w:val="uk-UA"/>
        </w:rPr>
      </w:pPr>
    </w:p>
    <w:p w14:paraId="2E3322DB"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Оцінка впливу на сферу інтересів суб’єктів господарювання.</w:t>
      </w:r>
    </w:p>
    <w:p w14:paraId="7ACD0817" w14:textId="77777777" w:rsidR="00430922" w:rsidRDefault="00430922">
      <w:pPr>
        <w:spacing w:after="0" w:line="240" w:lineRule="auto"/>
        <w:ind w:firstLine="720"/>
        <w:jc w:val="both"/>
        <w:rPr>
          <w:rFonts w:ascii="Times New Roman" w:hAnsi="Times New Roman"/>
          <w:sz w:val="26"/>
          <w:lang w:val="uk-UA"/>
        </w:rPr>
      </w:pPr>
    </w:p>
    <w:tbl>
      <w:tblPr>
        <w:tblStyle w:val="a6"/>
        <w:tblW w:w="0" w:type="auto"/>
        <w:tblLook w:val="04A0" w:firstRow="1" w:lastRow="0" w:firstColumn="1" w:lastColumn="0" w:noHBand="0" w:noVBand="1"/>
      </w:tblPr>
      <w:tblGrid>
        <w:gridCol w:w="2111"/>
        <w:gridCol w:w="1491"/>
        <w:gridCol w:w="1539"/>
        <w:gridCol w:w="1428"/>
        <w:gridCol w:w="1474"/>
        <w:gridCol w:w="1307"/>
      </w:tblGrid>
      <w:tr w:rsidR="00430922" w14:paraId="596CEFD1" w14:textId="77777777">
        <w:tc>
          <w:tcPr>
            <w:tcW w:w="1860" w:type="dxa"/>
          </w:tcPr>
          <w:p w14:paraId="26BC6713" w14:textId="77777777" w:rsidR="00430922" w:rsidRDefault="00000000">
            <w:pPr>
              <w:jc w:val="center"/>
              <w:rPr>
                <w:rFonts w:ascii="Times New Roman" w:hAnsi="Times New Roman"/>
                <w:sz w:val="26"/>
                <w:lang w:val="uk-UA"/>
              </w:rPr>
            </w:pPr>
            <w:r>
              <w:rPr>
                <w:rFonts w:ascii="Times New Roman" w:hAnsi="Times New Roman"/>
                <w:sz w:val="26"/>
                <w:lang w:val="uk-UA"/>
              </w:rPr>
              <w:t>Показник</w:t>
            </w:r>
          </w:p>
        </w:tc>
        <w:tc>
          <w:tcPr>
            <w:tcW w:w="1541" w:type="dxa"/>
          </w:tcPr>
          <w:p w14:paraId="24CAFC2D" w14:textId="77777777" w:rsidR="00430922" w:rsidRDefault="00000000">
            <w:pPr>
              <w:jc w:val="center"/>
              <w:rPr>
                <w:rFonts w:ascii="Times New Roman" w:hAnsi="Times New Roman"/>
                <w:sz w:val="26"/>
                <w:lang w:val="uk-UA"/>
              </w:rPr>
            </w:pPr>
            <w:r>
              <w:rPr>
                <w:rFonts w:ascii="Times New Roman" w:hAnsi="Times New Roman"/>
                <w:sz w:val="26"/>
                <w:lang w:val="uk-UA"/>
              </w:rPr>
              <w:t>Великі</w:t>
            </w:r>
          </w:p>
        </w:tc>
        <w:tc>
          <w:tcPr>
            <w:tcW w:w="1582" w:type="dxa"/>
          </w:tcPr>
          <w:p w14:paraId="1A390DA3" w14:textId="77777777" w:rsidR="00430922" w:rsidRDefault="00000000">
            <w:pPr>
              <w:jc w:val="center"/>
              <w:rPr>
                <w:rFonts w:ascii="Times New Roman" w:hAnsi="Times New Roman"/>
                <w:sz w:val="26"/>
                <w:lang w:val="uk-UA"/>
              </w:rPr>
            </w:pPr>
            <w:r>
              <w:rPr>
                <w:rFonts w:ascii="Times New Roman" w:hAnsi="Times New Roman"/>
                <w:sz w:val="26"/>
                <w:lang w:val="uk-UA"/>
              </w:rPr>
              <w:t>Середні</w:t>
            </w:r>
          </w:p>
        </w:tc>
        <w:tc>
          <w:tcPr>
            <w:tcW w:w="1491" w:type="dxa"/>
          </w:tcPr>
          <w:p w14:paraId="19CCDE0A" w14:textId="77777777" w:rsidR="00430922" w:rsidRDefault="00000000">
            <w:pPr>
              <w:jc w:val="center"/>
              <w:rPr>
                <w:rFonts w:ascii="Times New Roman" w:hAnsi="Times New Roman"/>
                <w:sz w:val="26"/>
                <w:lang w:val="uk-UA"/>
              </w:rPr>
            </w:pPr>
            <w:r>
              <w:rPr>
                <w:rFonts w:ascii="Times New Roman" w:hAnsi="Times New Roman"/>
                <w:sz w:val="26"/>
                <w:lang w:val="uk-UA"/>
              </w:rPr>
              <w:t>Малі</w:t>
            </w:r>
          </w:p>
        </w:tc>
        <w:tc>
          <w:tcPr>
            <w:tcW w:w="1528" w:type="dxa"/>
          </w:tcPr>
          <w:p w14:paraId="636EE578" w14:textId="77777777" w:rsidR="00430922" w:rsidRDefault="00000000">
            <w:pPr>
              <w:jc w:val="center"/>
              <w:rPr>
                <w:rFonts w:ascii="Times New Roman" w:hAnsi="Times New Roman"/>
                <w:sz w:val="26"/>
                <w:lang w:val="uk-UA"/>
              </w:rPr>
            </w:pPr>
            <w:r>
              <w:rPr>
                <w:rFonts w:ascii="Times New Roman" w:hAnsi="Times New Roman"/>
                <w:sz w:val="26"/>
                <w:lang w:val="uk-UA"/>
              </w:rPr>
              <w:t>Мікро</w:t>
            </w:r>
          </w:p>
        </w:tc>
        <w:tc>
          <w:tcPr>
            <w:tcW w:w="1348" w:type="dxa"/>
          </w:tcPr>
          <w:p w14:paraId="30662382" w14:textId="77777777" w:rsidR="00430922" w:rsidRDefault="00000000">
            <w:pPr>
              <w:jc w:val="center"/>
              <w:rPr>
                <w:rFonts w:ascii="Times New Roman" w:hAnsi="Times New Roman"/>
                <w:sz w:val="26"/>
                <w:lang w:val="uk-UA"/>
              </w:rPr>
            </w:pPr>
            <w:r>
              <w:rPr>
                <w:rFonts w:ascii="Times New Roman" w:hAnsi="Times New Roman"/>
                <w:sz w:val="26"/>
                <w:lang w:val="uk-UA"/>
              </w:rPr>
              <w:t>Разом</w:t>
            </w:r>
          </w:p>
        </w:tc>
      </w:tr>
      <w:tr w:rsidR="00430922" w14:paraId="115211FF" w14:textId="77777777">
        <w:tc>
          <w:tcPr>
            <w:tcW w:w="1860" w:type="dxa"/>
          </w:tcPr>
          <w:p w14:paraId="43390A9B" w14:textId="77777777" w:rsidR="00430922" w:rsidRDefault="00000000">
            <w:pPr>
              <w:rPr>
                <w:rFonts w:ascii="Times New Roman" w:hAnsi="Times New Roman"/>
                <w:sz w:val="26"/>
                <w:lang w:val="uk-UA"/>
              </w:rPr>
            </w:pPr>
            <w:r>
              <w:rPr>
                <w:rFonts w:ascii="Times New Roman" w:hAnsi="Times New Roman"/>
                <w:sz w:val="26"/>
                <w:lang w:val="uk-UA"/>
              </w:rPr>
              <w:t xml:space="preserve">Кількість суб’єктів господарювання, що підпадають </w:t>
            </w:r>
            <w:r>
              <w:rPr>
                <w:rFonts w:ascii="Times New Roman" w:hAnsi="Times New Roman"/>
                <w:sz w:val="26"/>
                <w:lang w:val="uk-UA"/>
              </w:rPr>
              <w:lastRenderedPageBreak/>
              <w:t>під дію регулювання, одиниць</w:t>
            </w:r>
          </w:p>
        </w:tc>
        <w:tc>
          <w:tcPr>
            <w:tcW w:w="1541" w:type="dxa"/>
          </w:tcPr>
          <w:p w14:paraId="7E58A270" w14:textId="77777777" w:rsidR="00430922" w:rsidRDefault="00000000">
            <w:pPr>
              <w:jc w:val="center"/>
              <w:rPr>
                <w:rFonts w:ascii="Times New Roman" w:hAnsi="Times New Roman"/>
                <w:sz w:val="26"/>
                <w:lang w:val="uk-UA"/>
              </w:rPr>
            </w:pPr>
            <w:r>
              <w:rPr>
                <w:rFonts w:ascii="Times New Roman" w:hAnsi="Times New Roman"/>
                <w:sz w:val="26"/>
                <w:lang w:val="uk-UA"/>
              </w:rPr>
              <w:lastRenderedPageBreak/>
              <w:t>0</w:t>
            </w:r>
          </w:p>
        </w:tc>
        <w:tc>
          <w:tcPr>
            <w:tcW w:w="1582" w:type="dxa"/>
          </w:tcPr>
          <w:p w14:paraId="295CA37E" w14:textId="77777777" w:rsidR="00430922" w:rsidRDefault="00000000">
            <w:pPr>
              <w:jc w:val="center"/>
              <w:rPr>
                <w:rFonts w:ascii="Times New Roman" w:hAnsi="Times New Roman"/>
                <w:sz w:val="26"/>
                <w:lang w:val="uk-UA"/>
              </w:rPr>
            </w:pPr>
            <w:r>
              <w:rPr>
                <w:rFonts w:ascii="Times New Roman" w:hAnsi="Times New Roman"/>
                <w:sz w:val="26"/>
                <w:lang w:val="uk-UA"/>
              </w:rPr>
              <w:t>40</w:t>
            </w:r>
          </w:p>
        </w:tc>
        <w:tc>
          <w:tcPr>
            <w:tcW w:w="1491" w:type="dxa"/>
          </w:tcPr>
          <w:p w14:paraId="61F8D58A" w14:textId="77777777" w:rsidR="00430922" w:rsidRDefault="00000000">
            <w:pPr>
              <w:jc w:val="center"/>
              <w:rPr>
                <w:rFonts w:ascii="Times New Roman" w:hAnsi="Times New Roman"/>
                <w:sz w:val="26"/>
                <w:lang w:val="uk-UA"/>
              </w:rPr>
            </w:pPr>
            <w:r>
              <w:rPr>
                <w:rFonts w:ascii="Times New Roman" w:hAnsi="Times New Roman"/>
                <w:sz w:val="26"/>
                <w:lang w:val="uk-UA"/>
              </w:rPr>
              <w:t>0</w:t>
            </w:r>
          </w:p>
        </w:tc>
        <w:tc>
          <w:tcPr>
            <w:tcW w:w="1528" w:type="dxa"/>
          </w:tcPr>
          <w:p w14:paraId="2224F4E3" w14:textId="77777777" w:rsidR="00430922" w:rsidRDefault="00000000">
            <w:pPr>
              <w:jc w:val="center"/>
              <w:rPr>
                <w:rFonts w:ascii="Times New Roman" w:hAnsi="Times New Roman"/>
                <w:sz w:val="26"/>
                <w:lang w:val="uk-UA"/>
              </w:rPr>
            </w:pPr>
            <w:r>
              <w:rPr>
                <w:rFonts w:ascii="Times New Roman" w:hAnsi="Times New Roman"/>
                <w:sz w:val="26"/>
                <w:lang w:val="uk-UA"/>
              </w:rPr>
              <w:t>0</w:t>
            </w:r>
          </w:p>
        </w:tc>
        <w:tc>
          <w:tcPr>
            <w:tcW w:w="1348" w:type="dxa"/>
          </w:tcPr>
          <w:p w14:paraId="7ED37590" w14:textId="77777777" w:rsidR="00430922" w:rsidRDefault="00000000">
            <w:pPr>
              <w:jc w:val="center"/>
              <w:rPr>
                <w:rFonts w:ascii="Times New Roman" w:hAnsi="Times New Roman"/>
                <w:sz w:val="26"/>
                <w:lang w:val="uk-UA"/>
              </w:rPr>
            </w:pPr>
            <w:r>
              <w:rPr>
                <w:rFonts w:ascii="Times New Roman" w:hAnsi="Times New Roman"/>
                <w:sz w:val="26"/>
                <w:lang w:val="uk-UA"/>
              </w:rPr>
              <w:t>40</w:t>
            </w:r>
          </w:p>
        </w:tc>
      </w:tr>
      <w:tr w:rsidR="00430922" w14:paraId="3BBB3E0D" w14:textId="77777777">
        <w:tc>
          <w:tcPr>
            <w:tcW w:w="1860" w:type="dxa"/>
          </w:tcPr>
          <w:p w14:paraId="148920B5" w14:textId="77777777" w:rsidR="00430922" w:rsidRDefault="00000000">
            <w:pPr>
              <w:jc w:val="both"/>
              <w:rPr>
                <w:rFonts w:ascii="Times New Roman" w:hAnsi="Times New Roman"/>
                <w:sz w:val="26"/>
                <w:lang w:val="uk-UA"/>
              </w:rPr>
            </w:pPr>
            <w:r>
              <w:rPr>
                <w:rFonts w:ascii="Times New Roman" w:hAnsi="Times New Roman"/>
                <w:sz w:val="26"/>
                <w:lang w:val="uk-UA"/>
              </w:rPr>
              <w:t>Питома вага групи у загальній кількості, відсотків</w:t>
            </w:r>
          </w:p>
        </w:tc>
        <w:tc>
          <w:tcPr>
            <w:tcW w:w="1541" w:type="dxa"/>
          </w:tcPr>
          <w:p w14:paraId="6BB874A7" w14:textId="77777777" w:rsidR="00430922" w:rsidRDefault="00000000">
            <w:pPr>
              <w:jc w:val="center"/>
              <w:rPr>
                <w:rFonts w:ascii="Times New Roman" w:hAnsi="Times New Roman"/>
                <w:sz w:val="26"/>
                <w:lang w:val="uk-UA"/>
              </w:rPr>
            </w:pPr>
            <w:r>
              <w:rPr>
                <w:rFonts w:ascii="Times New Roman" w:hAnsi="Times New Roman"/>
                <w:sz w:val="26"/>
                <w:lang w:val="uk-UA"/>
              </w:rPr>
              <w:t>0%</w:t>
            </w:r>
          </w:p>
        </w:tc>
        <w:tc>
          <w:tcPr>
            <w:tcW w:w="1582" w:type="dxa"/>
          </w:tcPr>
          <w:p w14:paraId="1E600DA7" w14:textId="77777777" w:rsidR="00430922" w:rsidRDefault="00000000">
            <w:pPr>
              <w:jc w:val="center"/>
              <w:rPr>
                <w:rFonts w:ascii="Times New Roman" w:hAnsi="Times New Roman"/>
                <w:sz w:val="26"/>
                <w:lang w:val="uk-UA"/>
              </w:rPr>
            </w:pPr>
            <w:r>
              <w:rPr>
                <w:rFonts w:ascii="Times New Roman" w:hAnsi="Times New Roman"/>
                <w:sz w:val="26"/>
                <w:lang w:val="uk-UA"/>
              </w:rPr>
              <w:t>100%</w:t>
            </w:r>
          </w:p>
        </w:tc>
        <w:tc>
          <w:tcPr>
            <w:tcW w:w="1491" w:type="dxa"/>
          </w:tcPr>
          <w:p w14:paraId="65F87132" w14:textId="77777777" w:rsidR="00430922" w:rsidRDefault="00000000">
            <w:pPr>
              <w:jc w:val="center"/>
              <w:rPr>
                <w:rFonts w:ascii="Times New Roman" w:hAnsi="Times New Roman"/>
                <w:sz w:val="26"/>
                <w:lang w:val="uk-UA"/>
              </w:rPr>
            </w:pPr>
            <w:r>
              <w:rPr>
                <w:rFonts w:ascii="Times New Roman" w:hAnsi="Times New Roman"/>
                <w:sz w:val="26"/>
                <w:lang w:val="uk-UA"/>
              </w:rPr>
              <w:t>0%</w:t>
            </w:r>
          </w:p>
        </w:tc>
        <w:tc>
          <w:tcPr>
            <w:tcW w:w="1528" w:type="dxa"/>
          </w:tcPr>
          <w:p w14:paraId="071B677B" w14:textId="77777777" w:rsidR="00430922" w:rsidRDefault="00000000">
            <w:pPr>
              <w:jc w:val="center"/>
              <w:rPr>
                <w:rFonts w:ascii="Times New Roman" w:hAnsi="Times New Roman"/>
                <w:sz w:val="26"/>
                <w:lang w:val="uk-UA"/>
              </w:rPr>
            </w:pPr>
            <w:r>
              <w:rPr>
                <w:rFonts w:ascii="Times New Roman" w:hAnsi="Times New Roman"/>
                <w:sz w:val="26"/>
                <w:lang w:val="uk-UA"/>
              </w:rPr>
              <w:t>0%</w:t>
            </w:r>
          </w:p>
        </w:tc>
        <w:tc>
          <w:tcPr>
            <w:tcW w:w="1348" w:type="dxa"/>
          </w:tcPr>
          <w:p w14:paraId="415D84C5" w14:textId="77777777" w:rsidR="00430922" w:rsidRDefault="00000000">
            <w:pPr>
              <w:jc w:val="center"/>
              <w:rPr>
                <w:rFonts w:ascii="Times New Roman" w:hAnsi="Times New Roman"/>
                <w:sz w:val="26"/>
                <w:lang w:val="uk-UA"/>
              </w:rPr>
            </w:pPr>
            <w:r>
              <w:rPr>
                <w:rFonts w:ascii="Times New Roman" w:hAnsi="Times New Roman"/>
                <w:sz w:val="26"/>
                <w:lang w:val="uk-UA"/>
              </w:rPr>
              <w:t>100%</w:t>
            </w:r>
          </w:p>
        </w:tc>
      </w:tr>
    </w:tbl>
    <w:p w14:paraId="19485350" w14:textId="77777777" w:rsidR="00430922" w:rsidRDefault="00430922">
      <w:pPr>
        <w:spacing w:after="0" w:line="240" w:lineRule="auto"/>
        <w:ind w:firstLine="720"/>
        <w:jc w:val="both"/>
        <w:rPr>
          <w:rFonts w:ascii="Times New Roman" w:hAnsi="Times New Roman"/>
          <w:sz w:val="26"/>
          <w:lang w:val="uk-UA"/>
        </w:rPr>
      </w:pPr>
    </w:p>
    <w:p w14:paraId="06B0EEB2" w14:textId="77777777" w:rsidR="00430922"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2263"/>
        <w:gridCol w:w="3969"/>
        <w:gridCol w:w="3402"/>
      </w:tblGrid>
      <w:tr w:rsidR="00430922" w14:paraId="63D0C161" w14:textId="77777777">
        <w:tc>
          <w:tcPr>
            <w:tcW w:w="2263" w:type="dxa"/>
          </w:tcPr>
          <w:p w14:paraId="4CC1D2D8" w14:textId="77777777" w:rsidR="00430922" w:rsidRDefault="00000000">
            <w:pPr>
              <w:jc w:val="center"/>
              <w:rPr>
                <w:rFonts w:ascii="Times New Roman" w:hAnsi="Times New Roman"/>
                <w:b/>
                <w:sz w:val="26"/>
                <w:lang w:val="uk-UA"/>
              </w:rPr>
            </w:pPr>
            <w:r>
              <w:rPr>
                <w:rFonts w:ascii="Times New Roman" w:hAnsi="Times New Roman"/>
                <w:b/>
                <w:sz w:val="26"/>
                <w:lang w:val="uk-UA"/>
              </w:rPr>
              <w:t>Вид альтернативи</w:t>
            </w:r>
          </w:p>
        </w:tc>
        <w:tc>
          <w:tcPr>
            <w:tcW w:w="3969" w:type="dxa"/>
          </w:tcPr>
          <w:p w14:paraId="42C27A71" w14:textId="77777777" w:rsidR="00430922" w:rsidRDefault="00000000">
            <w:pPr>
              <w:jc w:val="center"/>
              <w:rPr>
                <w:rFonts w:ascii="Times New Roman" w:hAnsi="Times New Roman"/>
                <w:b/>
                <w:sz w:val="26"/>
                <w:lang w:val="uk-UA"/>
              </w:rPr>
            </w:pPr>
            <w:r>
              <w:rPr>
                <w:rFonts w:ascii="Times New Roman" w:hAnsi="Times New Roman"/>
                <w:b/>
                <w:sz w:val="26"/>
                <w:lang w:val="uk-UA"/>
              </w:rPr>
              <w:t>Вигоди</w:t>
            </w:r>
          </w:p>
        </w:tc>
        <w:tc>
          <w:tcPr>
            <w:tcW w:w="3402" w:type="dxa"/>
          </w:tcPr>
          <w:p w14:paraId="39E00FF3" w14:textId="77777777" w:rsidR="00430922" w:rsidRDefault="00000000">
            <w:pPr>
              <w:jc w:val="center"/>
              <w:rPr>
                <w:rFonts w:ascii="Times New Roman" w:hAnsi="Times New Roman"/>
                <w:b/>
                <w:sz w:val="26"/>
                <w:lang w:val="uk-UA"/>
              </w:rPr>
            </w:pPr>
            <w:r>
              <w:rPr>
                <w:rFonts w:ascii="Times New Roman" w:hAnsi="Times New Roman"/>
                <w:b/>
                <w:sz w:val="26"/>
                <w:lang w:val="uk-UA"/>
              </w:rPr>
              <w:t>Витрати</w:t>
            </w:r>
          </w:p>
        </w:tc>
      </w:tr>
      <w:tr w:rsidR="00430922" w:rsidRPr="00735CCD" w14:paraId="0A8B894E" w14:textId="77777777">
        <w:tc>
          <w:tcPr>
            <w:tcW w:w="2263" w:type="dxa"/>
          </w:tcPr>
          <w:p w14:paraId="5A9799DA"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1</w:t>
            </w:r>
          </w:p>
        </w:tc>
        <w:tc>
          <w:tcPr>
            <w:tcW w:w="3969" w:type="dxa"/>
          </w:tcPr>
          <w:p w14:paraId="04F62474" w14:textId="77777777" w:rsidR="00430922" w:rsidRDefault="00000000">
            <w:pPr>
              <w:jc w:val="both"/>
              <w:rPr>
                <w:rFonts w:ascii="Times New Roman" w:hAnsi="Times New Roman"/>
                <w:sz w:val="26"/>
                <w:lang w:val="uk-UA"/>
              </w:rPr>
            </w:pPr>
            <w:r>
              <w:rPr>
                <w:rFonts w:ascii="Times New Roman" w:hAnsi="Times New Roman"/>
                <w:sz w:val="26"/>
                <w:lang w:val="uk-UA"/>
              </w:rPr>
              <w:t>Наявність чітко визначеного переліку вимог та прозорого алгоритму включення суб’єктів господарювання до Реєстру.</w:t>
            </w:r>
          </w:p>
          <w:p w14:paraId="71E12AF6" w14:textId="77777777" w:rsidR="00430922" w:rsidRDefault="00000000">
            <w:pPr>
              <w:jc w:val="both"/>
              <w:rPr>
                <w:rFonts w:ascii="Times New Roman" w:hAnsi="Times New Roman"/>
                <w:sz w:val="26"/>
                <w:lang w:val="uk-UA"/>
              </w:rPr>
            </w:pPr>
            <w:r>
              <w:rPr>
                <w:rFonts w:ascii="Times New Roman" w:hAnsi="Times New Roman"/>
                <w:sz w:val="26"/>
                <w:lang w:val="uk-UA"/>
              </w:rPr>
              <w:t xml:space="preserve">Створення сучасної системи здійснення психологічної допомоги, що включає, зокрема, надання послуг мультидисциплінарними командами на основі кейс- менеджменту, що відповідає сучасним вимогам до організації реабілітаційного процесу в закладах охорони здоров’я, що підвищує їх </w:t>
            </w:r>
          </w:p>
          <w:p w14:paraId="663A21BE" w14:textId="77777777" w:rsidR="00430922" w:rsidRDefault="00000000">
            <w:pPr>
              <w:jc w:val="both"/>
              <w:rPr>
                <w:rFonts w:ascii="Times New Roman" w:hAnsi="Times New Roman"/>
                <w:sz w:val="26"/>
                <w:lang w:val="uk-UA"/>
              </w:rPr>
            </w:pPr>
            <w:r>
              <w:rPr>
                <w:rFonts w:ascii="Times New Roman" w:hAnsi="Times New Roman"/>
                <w:sz w:val="26"/>
                <w:lang w:val="uk-UA"/>
              </w:rPr>
              <w:t>конкурентоспроможність.</w:t>
            </w:r>
          </w:p>
          <w:p w14:paraId="5F2D51F5" w14:textId="77777777" w:rsidR="00430922" w:rsidRDefault="00000000">
            <w:pPr>
              <w:jc w:val="both"/>
              <w:rPr>
                <w:rFonts w:ascii="Times New Roman" w:hAnsi="Times New Roman"/>
                <w:sz w:val="26"/>
                <w:lang w:val="uk-UA"/>
              </w:rPr>
            </w:pPr>
            <w:r>
              <w:rPr>
                <w:rFonts w:ascii="Times New Roman" w:hAnsi="Times New Roman"/>
                <w:sz w:val="26"/>
                <w:lang w:val="uk-UA"/>
              </w:rPr>
              <w:t>Позитивний вплив на інновації та розвиток.</w:t>
            </w:r>
          </w:p>
          <w:p w14:paraId="68AE1F55" w14:textId="77777777" w:rsidR="00430922" w:rsidRDefault="00000000">
            <w:pPr>
              <w:jc w:val="both"/>
              <w:rPr>
                <w:rFonts w:ascii="Times New Roman" w:hAnsi="Times New Roman"/>
                <w:sz w:val="26"/>
                <w:lang w:val="uk-UA"/>
              </w:rPr>
            </w:pPr>
            <w:r>
              <w:rPr>
                <w:rFonts w:ascii="Times New Roman" w:hAnsi="Times New Roman"/>
                <w:sz w:val="26"/>
                <w:lang w:val="uk-UA"/>
              </w:rPr>
              <w:t>Позитивний вплив на доступ до фінансів (залучення додаткового фінансування за бюджетною програмою Мінветеранів) – обсяг фінансування на 1 мультидисциплінарну команду (4 особи) на 1 місяць становитимуть 153 100 грн, на 1 рік – 1837 200 грн.</w:t>
            </w:r>
          </w:p>
          <w:p w14:paraId="7AF4FF54" w14:textId="77777777" w:rsidR="00430922" w:rsidRDefault="00430922">
            <w:pPr>
              <w:jc w:val="both"/>
              <w:rPr>
                <w:rFonts w:ascii="Times New Roman" w:hAnsi="Times New Roman"/>
                <w:sz w:val="26"/>
                <w:lang w:val="uk-UA"/>
              </w:rPr>
            </w:pPr>
          </w:p>
          <w:p w14:paraId="23F43899" w14:textId="77777777" w:rsidR="00430922" w:rsidRDefault="00430922">
            <w:pPr>
              <w:jc w:val="both"/>
              <w:rPr>
                <w:rFonts w:ascii="Times New Roman" w:hAnsi="Times New Roman"/>
                <w:sz w:val="26"/>
                <w:lang w:val="uk-UA"/>
              </w:rPr>
            </w:pPr>
          </w:p>
          <w:p w14:paraId="6B2BFB74" w14:textId="77777777" w:rsidR="00430922" w:rsidRDefault="00430922">
            <w:pPr>
              <w:jc w:val="both"/>
              <w:rPr>
                <w:rFonts w:ascii="Times New Roman" w:hAnsi="Times New Roman"/>
                <w:sz w:val="26"/>
                <w:lang w:val="uk-UA"/>
              </w:rPr>
            </w:pPr>
          </w:p>
        </w:tc>
        <w:tc>
          <w:tcPr>
            <w:tcW w:w="3402" w:type="dxa"/>
          </w:tcPr>
          <w:p w14:paraId="115A81FC" w14:textId="77777777" w:rsidR="00430922" w:rsidRDefault="00000000">
            <w:pPr>
              <w:jc w:val="both"/>
              <w:rPr>
                <w:rFonts w:ascii="Times New Roman" w:hAnsi="Times New Roman"/>
                <w:sz w:val="26"/>
                <w:lang w:val="uk-UA"/>
              </w:rPr>
            </w:pPr>
            <w:r>
              <w:rPr>
                <w:rFonts w:ascii="Times New Roman" w:hAnsi="Times New Roman"/>
                <w:sz w:val="26"/>
                <w:lang w:val="uk-UA"/>
              </w:rPr>
              <w:t>Прогнозовані витрати на 1 мультидисциплінарну команду (4 особи) на 1 місяць становитимуть 80 000 грн, на 1 рік - 960 000 грн.</w:t>
            </w:r>
          </w:p>
          <w:p w14:paraId="5839694D" w14:textId="77777777" w:rsidR="00430922" w:rsidRDefault="00000000">
            <w:pPr>
              <w:jc w:val="both"/>
              <w:rPr>
                <w:rFonts w:ascii="Times New Roman" w:hAnsi="Times New Roman"/>
                <w:sz w:val="26"/>
                <w:lang w:val="uk-UA"/>
              </w:rPr>
            </w:pPr>
            <w:r>
              <w:rPr>
                <w:rFonts w:ascii="Times New Roman" w:hAnsi="Times New Roman"/>
                <w:sz w:val="26"/>
                <w:lang w:val="uk-UA"/>
              </w:rPr>
              <w:t>Оскільки до Реєстру у 2023 році заплановано включити 40 суб’єктів середнього підприємництва, то орієнтовна сума витрат на 2023 рік становитиме: 38 400 000 грн.</w:t>
            </w:r>
          </w:p>
          <w:p w14:paraId="2D899720" w14:textId="77777777" w:rsidR="00430922" w:rsidRDefault="00430922">
            <w:pPr>
              <w:jc w:val="both"/>
              <w:rPr>
                <w:rFonts w:ascii="Times New Roman" w:hAnsi="Times New Roman"/>
                <w:sz w:val="26"/>
                <w:lang w:val="uk-UA"/>
              </w:rPr>
            </w:pPr>
          </w:p>
          <w:p w14:paraId="12776C89" w14:textId="77777777" w:rsidR="00430922" w:rsidRDefault="00000000">
            <w:pPr>
              <w:jc w:val="both"/>
              <w:rPr>
                <w:rFonts w:ascii="Times New Roman" w:hAnsi="Times New Roman"/>
                <w:lang w:val="uk-UA"/>
              </w:rPr>
            </w:pPr>
            <w:r>
              <w:rPr>
                <w:rFonts w:ascii="Times New Roman" w:hAnsi="Times New Roman"/>
                <w:lang w:val="uk-UA"/>
              </w:rPr>
              <w:t>(*ПКМУ від 12.01.2022 № 2: розмір нарахованої заробітної плати медичним працівникам закладів охорони здоров’я державної або комунальної форми власності за повністю виконану місячну (годинну) норму праці установлюється у межах фонду оплати праці на 2022 рік: на рівні не менше 20000 гривень лікарям (крім лікарів-інтернів) та професіоналам з вищою немедичною освітою, які допущені до медичної діяльності в закладах охорони здоров’я)</w:t>
            </w:r>
          </w:p>
        </w:tc>
      </w:tr>
      <w:tr w:rsidR="00430922" w14:paraId="05F5C210" w14:textId="77777777">
        <w:tc>
          <w:tcPr>
            <w:tcW w:w="2263" w:type="dxa"/>
          </w:tcPr>
          <w:p w14:paraId="261F3E65"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2</w:t>
            </w:r>
          </w:p>
        </w:tc>
        <w:tc>
          <w:tcPr>
            <w:tcW w:w="3969" w:type="dxa"/>
          </w:tcPr>
          <w:p w14:paraId="17A95FFE" w14:textId="77777777" w:rsidR="00430922" w:rsidRDefault="00000000">
            <w:pPr>
              <w:jc w:val="both"/>
              <w:rPr>
                <w:rFonts w:ascii="Times New Roman" w:hAnsi="Times New Roman"/>
                <w:sz w:val="26"/>
                <w:lang w:val="uk-UA"/>
              </w:rPr>
            </w:pPr>
            <w:r>
              <w:rPr>
                <w:rFonts w:ascii="Times New Roman" w:hAnsi="Times New Roman"/>
                <w:sz w:val="26"/>
                <w:lang w:val="uk-UA"/>
              </w:rPr>
              <w:t>Не передбачаються</w:t>
            </w:r>
          </w:p>
        </w:tc>
        <w:tc>
          <w:tcPr>
            <w:tcW w:w="3402" w:type="dxa"/>
          </w:tcPr>
          <w:p w14:paraId="57D448B2" w14:textId="77777777" w:rsidR="00430922" w:rsidRDefault="00000000">
            <w:pPr>
              <w:jc w:val="both"/>
              <w:rPr>
                <w:rFonts w:ascii="Times New Roman" w:hAnsi="Times New Roman"/>
                <w:sz w:val="26"/>
                <w:lang w:val="uk-UA"/>
              </w:rPr>
            </w:pPr>
            <w:r>
              <w:rPr>
                <w:rFonts w:ascii="Times New Roman" w:hAnsi="Times New Roman"/>
                <w:sz w:val="26"/>
                <w:lang w:val="uk-UA"/>
              </w:rPr>
              <w:t xml:space="preserve">Відсутні. </w:t>
            </w:r>
          </w:p>
        </w:tc>
      </w:tr>
    </w:tbl>
    <w:p w14:paraId="40229AC8" w14:textId="77777777" w:rsidR="00430922"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4675"/>
        <w:gridCol w:w="4959"/>
      </w:tblGrid>
      <w:tr w:rsidR="00430922" w14:paraId="7AE57502" w14:textId="77777777">
        <w:tc>
          <w:tcPr>
            <w:tcW w:w="4675" w:type="dxa"/>
          </w:tcPr>
          <w:p w14:paraId="0A98C2A0" w14:textId="77777777" w:rsidR="00430922" w:rsidRDefault="00000000">
            <w:pPr>
              <w:jc w:val="both"/>
              <w:rPr>
                <w:rFonts w:ascii="Times New Roman" w:hAnsi="Times New Roman"/>
                <w:b/>
                <w:sz w:val="26"/>
                <w:lang w:val="uk-UA"/>
              </w:rPr>
            </w:pPr>
            <w:r>
              <w:rPr>
                <w:rFonts w:ascii="Times New Roman" w:hAnsi="Times New Roman"/>
                <w:b/>
                <w:sz w:val="26"/>
                <w:lang w:val="uk-UA"/>
              </w:rPr>
              <w:t>Сумарні витрати за</w:t>
            </w:r>
          </w:p>
          <w:p w14:paraId="216F310B" w14:textId="77777777" w:rsidR="00430922" w:rsidRDefault="00000000">
            <w:pPr>
              <w:jc w:val="both"/>
              <w:rPr>
                <w:rFonts w:ascii="Times New Roman" w:hAnsi="Times New Roman"/>
                <w:b/>
                <w:sz w:val="26"/>
                <w:lang w:val="uk-UA"/>
              </w:rPr>
            </w:pPr>
            <w:r>
              <w:rPr>
                <w:rFonts w:ascii="Times New Roman" w:hAnsi="Times New Roman"/>
                <w:b/>
                <w:sz w:val="26"/>
                <w:lang w:val="uk-UA"/>
              </w:rPr>
              <w:lastRenderedPageBreak/>
              <w:t>альтернативами</w:t>
            </w:r>
          </w:p>
        </w:tc>
        <w:tc>
          <w:tcPr>
            <w:tcW w:w="4959" w:type="dxa"/>
          </w:tcPr>
          <w:p w14:paraId="41B94053" w14:textId="77777777" w:rsidR="00430922" w:rsidRDefault="00000000">
            <w:pPr>
              <w:jc w:val="both"/>
              <w:rPr>
                <w:rFonts w:ascii="Times New Roman" w:hAnsi="Times New Roman"/>
                <w:b/>
                <w:sz w:val="26"/>
                <w:lang w:val="uk-UA"/>
              </w:rPr>
            </w:pPr>
            <w:r>
              <w:rPr>
                <w:rFonts w:ascii="Times New Roman" w:hAnsi="Times New Roman"/>
                <w:b/>
                <w:sz w:val="26"/>
                <w:lang w:val="uk-UA"/>
              </w:rPr>
              <w:lastRenderedPageBreak/>
              <w:t>Сума витрат, гривень</w:t>
            </w:r>
          </w:p>
        </w:tc>
      </w:tr>
      <w:tr w:rsidR="00430922" w:rsidRPr="00735CCD" w14:paraId="7BA06D86" w14:textId="77777777">
        <w:tc>
          <w:tcPr>
            <w:tcW w:w="4675" w:type="dxa"/>
          </w:tcPr>
          <w:p w14:paraId="4FC6CB28"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1</w:t>
            </w:r>
          </w:p>
        </w:tc>
        <w:tc>
          <w:tcPr>
            <w:tcW w:w="4959" w:type="dxa"/>
          </w:tcPr>
          <w:p w14:paraId="186C9A12" w14:textId="77777777" w:rsidR="00430922" w:rsidRDefault="00000000">
            <w:pPr>
              <w:jc w:val="both"/>
              <w:rPr>
                <w:rFonts w:ascii="Times New Roman" w:hAnsi="Times New Roman"/>
                <w:sz w:val="26"/>
                <w:lang w:val="uk-UA"/>
              </w:rPr>
            </w:pPr>
            <w:r>
              <w:rPr>
                <w:rFonts w:ascii="Times New Roman" w:hAnsi="Times New Roman"/>
                <w:sz w:val="26"/>
                <w:lang w:val="uk-UA"/>
              </w:rPr>
              <w:t>Орієнтовна сума витрат на 2023 рік на виплату заробітної плати фахівцям з психічного здоров’я, яких включено до Реєстру, становитиме: 38 400 000  грн.</w:t>
            </w:r>
          </w:p>
          <w:p w14:paraId="195F6488" w14:textId="77777777" w:rsidR="00430922" w:rsidRDefault="00430922">
            <w:pPr>
              <w:jc w:val="both"/>
              <w:rPr>
                <w:rFonts w:ascii="Times New Roman" w:hAnsi="Times New Roman"/>
                <w:sz w:val="26"/>
                <w:lang w:val="uk-UA"/>
              </w:rPr>
            </w:pPr>
          </w:p>
        </w:tc>
      </w:tr>
      <w:tr w:rsidR="00430922" w:rsidRPr="00735CCD" w14:paraId="69014495" w14:textId="77777777">
        <w:tc>
          <w:tcPr>
            <w:tcW w:w="4675" w:type="dxa"/>
          </w:tcPr>
          <w:p w14:paraId="5496AFC1" w14:textId="77777777" w:rsidR="00430922" w:rsidRDefault="00000000">
            <w:pPr>
              <w:jc w:val="both"/>
              <w:rPr>
                <w:rFonts w:ascii="Times New Roman" w:hAnsi="Times New Roman"/>
                <w:sz w:val="26"/>
                <w:lang w:val="uk-UA"/>
              </w:rPr>
            </w:pPr>
            <w:r>
              <w:rPr>
                <w:rFonts w:ascii="Times New Roman" w:hAnsi="Times New Roman"/>
                <w:sz w:val="26"/>
                <w:lang w:val="uk-UA"/>
              </w:rPr>
              <w:t>Альтернатива 2</w:t>
            </w:r>
          </w:p>
        </w:tc>
        <w:tc>
          <w:tcPr>
            <w:tcW w:w="4959" w:type="dxa"/>
          </w:tcPr>
          <w:p w14:paraId="33E1658B" w14:textId="77777777" w:rsidR="00430922" w:rsidRDefault="00000000">
            <w:pPr>
              <w:jc w:val="both"/>
              <w:rPr>
                <w:rFonts w:ascii="Times New Roman" w:hAnsi="Times New Roman"/>
                <w:sz w:val="26"/>
                <w:lang w:val="uk-UA"/>
              </w:rPr>
            </w:pPr>
            <w:r>
              <w:rPr>
                <w:rFonts w:ascii="Times New Roman" w:hAnsi="Times New Roman"/>
                <w:sz w:val="26"/>
                <w:lang w:val="uk-UA"/>
              </w:rPr>
              <w:t>Наявні витрати на заробітну плату.</w:t>
            </w:r>
          </w:p>
        </w:tc>
      </w:tr>
    </w:tbl>
    <w:p w14:paraId="70B10615" w14:textId="77777777" w:rsidR="00430922" w:rsidRDefault="00430922">
      <w:pPr>
        <w:spacing w:after="0" w:line="240" w:lineRule="auto"/>
        <w:ind w:firstLine="720"/>
        <w:jc w:val="both"/>
        <w:rPr>
          <w:rFonts w:ascii="Times New Roman" w:hAnsi="Times New Roman"/>
          <w:sz w:val="26"/>
          <w:lang w:val="uk-UA"/>
        </w:rPr>
      </w:pPr>
    </w:p>
    <w:p w14:paraId="52433A6E"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IV. Вибір найбільш оптимального альтернативного способу досягнення цілей</w:t>
      </w:r>
    </w:p>
    <w:p w14:paraId="78256FE4" w14:textId="77777777" w:rsidR="00430922" w:rsidRDefault="00430922">
      <w:pPr>
        <w:spacing w:after="0" w:line="240" w:lineRule="auto"/>
        <w:ind w:firstLine="720"/>
        <w:jc w:val="center"/>
        <w:rPr>
          <w:rFonts w:ascii="Times New Roman" w:hAnsi="Times New Roman"/>
          <w:b/>
          <w:sz w:val="26"/>
          <w:lang w:val="uk-UA"/>
        </w:rPr>
      </w:pPr>
    </w:p>
    <w:tbl>
      <w:tblPr>
        <w:tblStyle w:val="a6"/>
        <w:tblW w:w="9634" w:type="dxa"/>
        <w:tblLook w:val="04A0" w:firstRow="1" w:lastRow="0" w:firstColumn="1" w:lastColumn="0" w:noHBand="0" w:noVBand="1"/>
      </w:tblPr>
      <w:tblGrid>
        <w:gridCol w:w="3116"/>
        <w:gridCol w:w="3117"/>
        <w:gridCol w:w="3401"/>
      </w:tblGrid>
      <w:tr w:rsidR="00430922" w:rsidRPr="00735CCD" w14:paraId="042937B3" w14:textId="77777777">
        <w:tc>
          <w:tcPr>
            <w:tcW w:w="3116" w:type="dxa"/>
          </w:tcPr>
          <w:p w14:paraId="4F42672D" w14:textId="77777777" w:rsidR="00430922" w:rsidRDefault="00000000">
            <w:pPr>
              <w:jc w:val="center"/>
              <w:rPr>
                <w:rFonts w:ascii="Times New Roman" w:hAnsi="Times New Roman"/>
                <w:b/>
                <w:sz w:val="26"/>
                <w:lang w:val="uk-UA"/>
              </w:rPr>
            </w:pPr>
            <w:r>
              <w:rPr>
                <w:rFonts w:ascii="Times New Roman" w:hAnsi="Times New Roman"/>
                <w:b/>
                <w:sz w:val="26"/>
                <w:lang w:val="uk-UA"/>
              </w:rPr>
              <w:t>Рейтинг результативності (досягнення цілей під час вирішення проблеми)</w:t>
            </w:r>
          </w:p>
        </w:tc>
        <w:tc>
          <w:tcPr>
            <w:tcW w:w="3117" w:type="dxa"/>
          </w:tcPr>
          <w:p w14:paraId="417D122C" w14:textId="77777777" w:rsidR="00430922" w:rsidRDefault="00000000">
            <w:pPr>
              <w:jc w:val="center"/>
              <w:rPr>
                <w:rFonts w:ascii="Times New Roman" w:hAnsi="Times New Roman"/>
                <w:b/>
                <w:sz w:val="26"/>
                <w:lang w:val="uk-UA"/>
              </w:rPr>
            </w:pPr>
            <w:r>
              <w:rPr>
                <w:rFonts w:ascii="Times New Roman" w:hAnsi="Times New Roman"/>
                <w:b/>
                <w:sz w:val="26"/>
                <w:lang w:val="uk-UA"/>
              </w:rPr>
              <w:t>Бал результативності (за чотирибальною системою оцінки)</w:t>
            </w:r>
          </w:p>
        </w:tc>
        <w:tc>
          <w:tcPr>
            <w:tcW w:w="3401" w:type="dxa"/>
          </w:tcPr>
          <w:p w14:paraId="762F003E" w14:textId="77777777" w:rsidR="00430922" w:rsidRDefault="00000000">
            <w:pPr>
              <w:jc w:val="center"/>
              <w:rPr>
                <w:rFonts w:ascii="Times New Roman" w:hAnsi="Times New Roman"/>
                <w:b/>
                <w:sz w:val="26"/>
                <w:lang w:val="uk-UA"/>
              </w:rPr>
            </w:pPr>
            <w:r>
              <w:rPr>
                <w:rFonts w:ascii="Times New Roman" w:hAnsi="Times New Roman"/>
                <w:b/>
                <w:sz w:val="26"/>
                <w:lang w:val="uk-UA"/>
              </w:rPr>
              <w:t xml:space="preserve">Коментарі щодо присвоєння відповідного </w:t>
            </w:r>
            <w:proofErr w:type="spellStart"/>
            <w:r>
              <w:rPr>
                <w:rFonts w:ascii="Times New Roman" w:hAnsi="Times New Roman"/>
                <w:b/>
                <w:sz w:val="26"/>
                <w:lang w:val="uk-UA"/>
              </w:rPr>
              <w:t>бала</w:t>
            </w:r>
            <w:proofErr w:type="spellEnd"/>
          </w:p>
        </w:tc>
      </w:tr>
      <w:tr w:rsidR="00430922" w14:paraId="400D3055" w14:textId="77777777">
        <w:tc>
          <w:tcPr>
            <w:tcW w:w="3116" w:type="dxa"/>
          </w:tcPr>
          <w:p w14:paraId="3C4A742B" w14:textId="77777777" w:rsidR="00430922" w:rsidRDefault="00000000">
            <w:pPr>
              <w:jc w:val="center"/>
              <w:rPr>
                <w:rFonts w:ascii="Times New Roman" w:hAnsi="Times New Roman"/>
                <w:sz w:val="26"/>
                <w:lang w:val="uk-UA"/>
              </w:rPr>
            </w:pPr>
            <w:r>
              <w:rPr>
                <w:rFonts w:ascii="Times New Roman" w:hAnsi="Times New Roman"/>
                <w:sz w:val="26"/>
                <w:lang w:val="uk-UA"/>
              </w:rPr>
              <w:t>Альтернатива 1</w:t>
            </w:r>
          </w:p>
          <w:p w14:paraId="0F575A8F" w14:textId="77777777" w:rsidR="00430922" w:rsidRDefault="00430922">
            <w:pPr>
              <w:rPr>
                <w:rFonts w:ascii="Times New Roman" w:hAnsi="Times New Roman"/>
                <w:sz w:val="26"/>
                <w:lang w:val="uk-UA"/>
              </w:rPr>
            </w:pPr>
          </w:p>
        </w:tc>
        <w:tc>
          <w:tcPr>
            <w:tcW w:w="3117" w:type="dxa"/>
          </w:tcPr>
          <w:p w14:paraId="2539D79F" w14:textId="77777777" w:rsidR="00430922" w:rsidRDefault="00000000">
            <w:pPr>
              <w:jc w:val="center"/>
              <w:rPr>
                <w:rFonts w:ascii="Times New Roman" w:hAnsi="Times New Roman"/>
                <w:sz w:val="26"/>
                <w:lang w:val="uk-UA"/>
              </w:rPr>
            </w:pPr>
            <w:r>
              <w:rPr>
                <w:rFonts w:ascii="Times New Roman" w:hAnsi="Times New Roman"/>
                <w:sz w:val="26"/>
                <w:lang w:val="uk-UA"/>
              </w:rPr>
              <w:t>4</w:t>
            </w:r>
          </w:p>
        </w:tc>
        <w:tc>
          <w:tcPr>
            <w:tcW w:w="3401" w:type="dxa"/>
          </w:tcPr>
          <w:p w14:paraId="3711C707" w14:textId="77777777" w:rsidR="00430922" w:rsidRDefault="00000000">
            <w:pPr>
              <w:jc w:val="center"/>
              <w:rPr>
                <w:rFonts w:ascii="Times New Roman" w:hAnsi="Times New Roman"/>
                <w:sz w:val="26"/>
                <w:lang w:val="uk-UA"/>
              </w:rPr>
            </w:pPr>
            <w:r>
              <w:rPr>
                <w:rFonts w:ascii="Times New Roman" w:hAnsi="Times New Roman"/>
                <w:sz w:val="26"/>
                <w:lang w:val="uk-UA"/>
              </w:rPr>
              <w:t>Цілі прийняття регуляторного акта, які можуть бути досягнуті повною мірою (проблема більше існувати не буде)</w:t>
            </w:r>
          </w:p>
        </w:tc>
      </w:tr>
      <w:tr w:rsidR="00430922" w:rsidRPr="00735CCD" w14:paraId="56DAFC0B" w14:textId="77777777">
        <w:tc>
          <w:tcPr>
            <w:tcW w:w="3116" w:type="dxa"/>
          </w:tcPr>
          <w:p w14:paraId="55041015" w14:textId="77777777" w:rsidR="00430922" w:rsidRDefault="00000000">
            <w:pPr>
              <w:jc w:val="center"/>
              <w:rPr>
                <w:rFonts w:ascii="Times New Roman" w:hAnsi="Times New Roman"/>
                <w:sz w:val="26"/>
                <w:lang w:val="uk-UA"/>
              </w:rPr>
            </w:pPr>
            <w:r>
              <w:rPr>
                <w:rFonts w:ascii="Times New Roman" w:hAnsi="Times New Roman"/>
                <w:sz w:val="26"/>
                <w:lang w:val="uk-UA"/>
              </w:rPr>
              <w:t>Альтернатива 2</w:t>
            </w:r>
          </w:p>
          <w:p w14:paraId="17E9E25A" w14:textId="77777777" w:rsidR="00430922" w:rsidRDefault="00430922">
            <w:pPr>
              <w:jc w:val="center"/>
              <w:rPr>
                <w:rFonts w:ascii="Times New Roman" w:hAnsi="Times New Roman"/>
                <w:sz w:val="26"/>
                <w:lang w:val="uk-UA"/>
              </w:rPr>
            </w:pPr>
          </w:p>
        </w:tc>
        <w:tc>
          <w:tcPr>
            <w:tcW w:w="3117" w:type="dxa"/>
          </w:tcPr>
          <w:p w14:paraId="029D5FAE" w14:textId="77777777" w:rsidR="00430922" w:rsidRDefault="00000000">
            <w:pPr>
              <w:jc w:val="center"/>
              <w:rPr>
                <w:rFonts w:ascii="Times New Roman" w:hAnsi="Times New Roman"/>
                <w:sz w:val="26"/>
                <w:lang w:val="uk-UA"/>
              </w:rPr>
            </w:pPr>
            <w:r>
              <w:rPr>
                <w:rFonts w:ascii="Times New Roman" w:hAnsi="Times New Roman"/>
                <w:sz w:val="26"/>
                <w:lang w:val="uk-UA"/>
              </w:rPr>
              <w:t>1</w:t>
            </w:r>
          </w:p>
        </w:tc>
        <w:tc>
          <w:tcPr>
            <w:tcW w:w="3401" w:type="dxa"/>
          </w:tcPr>
          <w:p w14:paraId="6A6C468A" w14:textId="77777777" w:rsidR="00430922" w:rsidRDefault="00000000">
            <w:pPr>
              <w:jc w:val="center"/>
              <w:rPr>
                <w:rFonts w:ascii="Times New Roman" w:hAnsi="Times New Roman"/>
                <w:sz w:val="26"/>
                <w:lang w:val="uk-UA"/>
              </w:rPr>
            </w:pPr>
            <w:r>
              <w:rPr>
                <w:rFonts w:ascii="Times New Roman" w:hAnsi="Times New Roman"/>
                <w:sz w:val="26"/>
                <w:lang w:val="uk-UA"/>
              </w:rPr>
              <w:t>Цілі прийняття регуляторного акта, які не можуть бути досягнуті (проблема продовжує існувати).</w:t>
            </w:r>
          </w:p>
        </w:tc>
      </w:tr>
    </w:tbl>
    <w:p w14:paraId="2A040FA8" w14:textId="77777777" w:rsidR="00430922" w:rsidRDefault="00430922">
      <w:pPr>
        <w:spacing w:after="0" w:line="240" w:lineRule="auto"/>
        <w:ind w:firstLine="720"/>
        <w:jc w:val="center"/>
        <w:rPr>
          <w:rFonts w:ascii="Times New Roman" w:hAnsi="Times New Roman"/>
          <w:b/>
          <w:sz w:val="26"/>
          <w:lang w:val="uk-UA"/>
        </w:rPr>
      </w:pPr>
    </w:p>
    <w:tbl>
      <w:tblPr>
        <w:tblStyle w:val="a6"/>
        <w:tblW w:w="9634" w:type="dxa"/>
        <w:tblLook w:val="04A0" w:firstRow="1" w:lastRow="0" w:firstColumn="1" w:lastColumn="0" w:noHBand="0" w:noVBand="1"/>
      </w:tblPr>
      <w:tblGrid>
        <w:gridCol w:w="2265"/>
        <w:gridCol w:w="3259"/>
        <w:gridCol w:w="1783"/>
        <w:gridCol w:w="2327"/>
      </w:tblGrid>
      <w:tr w:rsidR="00430922" w:rsidRPr="00735CCD" w14:paraId="099F665B" w14:textId="77777777">
        <w:tc>
          <w:tcPr>
            <w:tcW w:w="2265" w:type="dxa"/>
          </w:tcPr>
          <w:p w14:paraId="78D97BD1" w14:textId="77777777" w:rsidR="00430922" w:rsidRDefault="00000000">
            <w:pPr>
              <w:jc w:val="both"/>
              <w:rPr>
                <w:rFonts w:ascii="Times New Roman" w:hAnsi="Times New Roman"/>
                <w:b/>
                <w:sz w:val="26"/>
                <w:lang w:val="uk-UA"/>
              </w:rPr>
            </w:pPr>
            <w:r>
              <w:rPr>
                <w:rFonts w:ascii="Times New Roman" w:hAnsi="Times New Roman"/>
                <w:b/>
                <w:sz w:val="26"/>
                <w:lang w:val="uk-UA"/>
              </w:rPr>
              <w:t>Рейтинг результативності</w:t>
            </w:r>
          </w:p>
        </w:tc>
        <w:tc>
          <w:tcPr>
            <w:tcW w:w="3259" w:type="dxa"/>
          </w:tcPr>
          <w:p w14:paraId="4A6FEE52" w14:textId="77777777" w:rsidR="00430922" w:rsidRDefault="00000000">
            <w:pPr>
              <w:jc w:val="both"/>
              <w:rPr>
                <w:rFonts w:ascii="Times New Roman" w:hAnsi="Times New Roman"/>
                <w:b/>
                <w:sz w:val="26"/>
                <w:lang w:val="uk-UA"/>
              </w:rPr>
            </w:pPr>
            <w:r>
              <w:rPr>
                <w:rFonts w:ascii="Times New Roman" w:hAnsi="Times New Roman"/>
                <w:b/>
                <w:sz w:val="26"/>
                <w:lang w:val="uk-UA"/>
              </w:rPr>
              <w:t>Вигоди (підсумок)</w:t>
            </w:r>
          </w:p>
        </w:tc>
        <w:tc>
          <w:tcPr>
            <w:tcW w:w="1783" w:type="dxa"/>
          </w:tcPr>
          <w:p w14:paraId="4316A11F" w14:textId="77777777" w:rsidR="00430922" w:rsidRDefault="00000000">
            <w:pPr>
              <w:jc w:val="both"/>
              <w:rPr>
                <w:rFonts w:ascii="Times New Roman" w:hAnsi="Times New Roman"/>
                <w:b/>
                <w:sz w:val="26"/>
                <w:lang w:val="uk-UA"/>
              </w:rPr>
            </w:pPr>
            <w:r>
              <w:rPr>
                <w:rFonts w:ascii="Times New Roman" w:hAnsi="Times New Roman"/>
                <w:b/>
                <w:sz w:val="26"/>
                <w:lang w:val="uk-UA"/>
              </w:rPr>
              <w:t>Витрати (підсумок)</w:t>
            </w:r>
          </w:p>
        </w:tc>
        <w:tc>
          <w:tcPr>
            <w:tcW w:w="2327" w:type="dxa"/>
          </w:tcPr>
          <w:p w14:paraId="562FFA3A" w14:textId="77777777" w:rsidR="00430922" w:rsidRDefault="00000000">
            <w:pPr>
              <w:jc w:val="both"/>
              <w:rPr>
                <w:rFonts w:ascii="Times New Roman" w:hAnsi="Times New Roman"/>
                <w:b/>
                <w:sz w:val="26"/>
                <w:lang w:val="uk-UA"/>
              </w:rPr>
            </w:pPr>
            <w:r>
              <w:rPr>
                <w:rFonts w:ascii="Times New Roman" w:hAnsi="Times New Roman"/>
                <w:b/>
                <w:sz w:val="26"/>
                <w:lang w:val="uk-UA"/>
              </w:rPr>
              <w:t>Обґрунтування відповідного місця альтернативи у рейтингу</w:t>
            </w:r>
          </w:p>
        </w:tc>
      </w:tr>
      <w:tr w:rsidR="00430922" w:rsidRPr="00735CCD" w14:paraId="6630A82A" w14:textId="77777777">
        <w:tc>
          <w:tcPr>
            <w:tcW w:w="2265" w:type="dxa"/>
          </w:tcPr>
          <w:p w14:paraId="43265805" w14:textId="77777777" w:rsidR="00430922" w:rsidRDefault="00000000">
            <w:pPr>
              <w:jc w:val="center"/>
              <w:rPr>
                <w:rFonts w:ascii="Times New Roman" w:hAnsi="Times New Roman"/>
                <w:sz w:val="26"/>
                <w:lang w:val="uk-UA"/>
              </w:rPr>
            </w:pPr>
            <w:r>
              <w:rPr>
                <w:rFonts w:ascii="Times New Roman" w:hAnsi="Times New Roman"/>
                <w:sz w:val="26"/>
                <w:lang w:val="uk-UA"/>
              </w:rPr>
              <w:t>Альтернатива 1</w:t>
            </w:r>
          </w:p>
          <w:p w14:paraId="310BA30A" w14:textId="77777777" w:rsidR="00430922" w:rsidRDefault="00430922">
            <w:pPr>
              <w:jc w:val="both"/>
              <w:rPr>
                <w:rFonts w:ascii="Times New Roman" w:hAnsi="Times New Roman"/>
                <w:sz w:val="26"/>
                <w:lang w:val="uk-UA"/>
              </w:rPr>
            </w:pPr>
          </w:p>
        </w:tc>
        <w:tc>
          <w:tcPr>
            <w:tcW w:w="3259" w:type="dxa"/>
          </w:tcPr>
          <w:p w14:paraId="267A8DB4" w14:textId="77777777" w:rsidR="00430922" w:rsidRDefault="00000000">
            <w:pPr>
              <w:jc w:val="both"/>
              <w:rPr>
                <w:rFonts w:ascii="Times New Roman" w:hAnsi="Times New Roman"/>
                <w:sz w:val="26"/>
                <w:lang w:val="uk-UA"/>
              </w:rPr>
            </w:pPr>
            <w:r>
              <w:rPr>
                <w:rFonts w:ascii="Times New Roman" w:hAnsi="Times New Roman"/>
                <w:sz w:val="26"/>
                <w:lang w:val="uk-UA"/>
              </w:rPr>
              <w:t>Для держави:</w:t>
            </w:r>
          </w:p>
          <w:p w14:paraId="469AE86A" w14:textId="77777777" w:rsidR="00430922" w:rsidRDefault="00000000">
            <w:pPr>
              <w:jc w:val="both"/>
              <w:rPr>
                <w:rFonts w:ascii="Times New Roman" w:hAnsi="Times New Roman"/>
                <w:sz w:val="26"/>
                <w:lang w:val="uk-UA"/>
              </w:rPr>
            </w:pPr>
            <w:r>
              <w:rPr>
                <w:rFonts w:ascii="Times New Roman" w:hAnsi="Times New Roman"/>
                <w:sz w:val="26"/>
                <w:lang w:val="uk-UA"/>
              </w:rPr>
              <w:t xml:space="preserve">- створення сучасної багаторівневої системи психологічної допомоги ветеранам війни; </w:t>
            </w:r>
          </w:p>
          <w:p w14:paraId="3FD302EC" w14:textId="77777777" w:rsidR="00430922" w:rsidRDefault="00000000">
            <w:pPr>
              <w:jc w:val="both"/>
              <w:rPr>
                <w:rFonts w:ascii="Times New Roman" w:hAnsi="Times New Roman"/>
                <w:sz w:val="26"/>
                <w:lang w:val="uk-UA"/>
              </w:rPr>
            </w:pPr>
            <w:r>
              <w:rPr>
                <w:rFonts w:ascii="Times New Roman" w:hAnsi="Times New Roman"/>
                <w:sz w:val="26"/>
                <w:lang w:val="uk-UA"/>
              </w:rPr>
              <w:t>- впровадження сучасних підходів до організації психологічної допомоги і  реабілітаційного процесу;</w:t>
            </w:r>
          </w:p>
          <w:p w14:paraId="1D23FE77" w14:textId="77777777" w:rsidR="00430922" w:rsidRDefault="00000000">
            <w:pPr>
              <w:jc w:val="both"/>
              <w:rPr>
                <w:rFonts w:ascii="Times New Roman" w:hAnsi="Times New Roman"/>
                <w:sz w:val="26"/>
                <w:lang w:val="uk-UA"/>
              </w:rPr>
            </w:pPr>
            <w:r>
              <w:rPr>
                <w:rFonts w:ascii="Times New Roman" w:hAnsi="Times New Roman"/>
                <w:sz w:val="26"/>
                <w:lang w:val="uk-UA"/>
              </w:rPr>
              <w:t xml:space="preserve">- створення умов для застосування ринкових або неринкових механізмів сприяння побудові </w:t>
            </w:r>
            <w:r>
              <w:rPr>
                <w:rFonts w:ascii="Times New Roman" w:hAnsi="Times New Roman"/>
                <w:sz w:val="26"/>
                <w:lang w:val="uk-UA"/>
              </w:rPr>
              <w:lastRenderedPageBreak/>
              <w:t xml:space="preserve">багаторівневої системи психологічної допомоги ветеранам війни. </w:t>
            </w:r>
          </w:p>
          <w:p w14:paraId="08E5CFD5" w14:textId="77777777" w:rsidR="00430922" w:rsidRDefault="00000000">
            <w:pPr>
              <w:jc w:val="both"/>
              <w:rPr>
                <w:rFonts w:ascii="Times New Roman" w:hAnsi="Times New Roman"/>
                <w:sz w:val="26"/>
                <w:lang w:val="uk-UA"/>
              </w:rPr>
            </w:pPr>
            <w:r>
              <w:rPr>
                <w:rFonts w:ascii="Times New Roman" w:hAnsi="Times New Roman"/>
                <w:sz w:val="26"/>
                <w:lang w:val="uk-UA"/>
              </w:rPr>
              <w:t>- забезпечення доступності і якості надання психологічної допомоги відповідно до рекомендацій ВООЗ;</w:t>
            </w:r>
          </w:p>
          <w:p w14:paraId="7362E57C" w14:textId="77777777" w:rsidR="00430922" w:rsidRDefault="00000000">
            <w:pPr>
              <w:jc w:val="both"/>
              <w:rPr>
                <w:rFonts w:ascii="Times New Roman" w:hAnsi="Times New Roman"/>
                <w:sz w:val="26"/>
                <w:lang w:val="uk-UA"/>
              </w:rPr>
            </w:pPr>
            <w:r>
              <w:rPr>
                <w:rFonts w:ascii="Times New Roman" w:hAnsi="Times New Roman"/>
                <w:sz w:val="26"/>
                <w:lang w:val="uk-UA"/>
              </w:rPr>
              <w:t>- покращення внутріполітичного клімату України;</w:t>
            </w:r>
          </w:p>
          <w:p w14:paraId="340AAE59" w14:textId="77777777" w:rsidR="00430922" w:rsidRDefault="00000000">
            <w:pPr>
              <w:jc w:val="both"/>
              <w:rPr>
                <w:rFonts w:ascii="Times New Roman" w:hAnsi="Times New Roman"/>
                <w:sz w:val="26"/>
                <w:lang w:val="uk-UA"/>
              </w:rPr>
            </w:pPr>
            <w:r>
              <w:rPr>
                <w:rFonts w:ascii="Times New Roman" w:hAnsi="Times New Roman"/>
                <w:sz w:val="26"/>
                <w:lang w:val="uk-UA"/>
              </w:rPr>
              <w:t>- побудова системи раннього виявлення та запобігання психічним розладам серед ветеранів війни, що призводить до зменшення кількості госпіталізацій та інвалідизації, а відтак зменшує витрати держави на ці заходи.</w:t>
            </w:r>
          </w:p>
          <w:p w14:paraId="18CF602E" w14:textId="77777777" w:rsidR="00430922" w:rsidRDefault="00430922">
            <w:pPr>
              <w:jc w:val="both"/>
              <w:rPr>
                <w:rFonts w:ascii="Times New Roman" w:hAnsi="Times New Roman"/>
                <w:sz w:val="26"/>
                <w:lang w:val="uk-UA"/>
              </w:rPr>
            </w:pPr>
          </w:p>
          <w:p w14:paraId="66A98200" w14:textId="77777777" w:rsidR="00430922" w:rsidRDefault="00000000">
            <w:pPr>
              <w:jc w:val="both"/>
              <w:rPr>
                <w:rFonts w:ascii="Times New Roman" w:hAnsi="Times New Roman"/>
                <w:sz w:val="26"/>
                <w:lang w:val="uk-UA"/>
              </w:rPr>
            </w:pPr>
            <w:r>
              <w:rPr>
                <w:rFonts w:ascii="Times New Roman" w:hAnsi="Times New Roman"/>
                <w:sz w:val="26"/>
                <w:lang w:val="uk-UA"/>
              </w:rPr>
              <w:t xml:space="preserve">Для громадян: </w:t>
            </w:r>
          </w:p>
          <w:p w14:paraId="0FED2A2C" w14:textId="77777777" w:rsidR="00430922" w:rsidRDefault="00000000">
            <w:pPr>
              <w:jc w:val="both"/>
              <w:rPr>
                <w:rFonts w:ascii="Times New Roman" w:hAnsi="Times New Roman"/>
                <w:sz w:val="26"/>
                <w:lang w:val="uk-UA"/>
              </w:rPr>
            </w:pPr>
            <w:r>
              <w:rPr>
                <w:rFonts w:ascii="Times New Roman" w:hAnsi="Times New Roman"/>
                <w:sz w:val="26"/>
                <w:lang w:val="uk-UA"/>
              </w:rPr>
              <w:t xml:space="preserve">- забезпечено доступність послуг: з ланцюжка системи отримання психологічної допомоги прибрано управління соціального захисту населення, ветерани війни можуть отримати послуги шляхом </w:t>
            </w:r>
            <w:proofErr w:type="spellStart"/>
            <w:r>
              <w:rPr>
                <w:rFonts w:ascii="Times New Roman" w:hAnsi="Times New Roman"/>
                <w:sz w:val="26"/>
                <w:lang w:val="uk-UA"/>
              </w:rPr>
              <w:t>самозвернення</w:t>
            </w:r>
            <w:proofErr w:type="spellEnd"/>
            <w:r>
              <w:rPr>
                <w:rFonts w:ascii="Times New Roman" w:hAnsi="Times New Roman"/>
                <w:sz w:val="26"/>
                <w:lang w:val="uk-UA"/>
              </w:rPr>
              <w:t xml:space="preserve">, обравши психолога чи медичний заклад з електронного Реєстру постачальників послуг з психологічної реабілітації для ветеранів і членів їх сімей; </w:t>
            </w:r>
          </w:p>
          <w:p w14:paraId="18778A3E" w14:textId="77777777" w:rsidR="00430922" w:rsidRDefault="00000000">
            <w:pPr>
              <w:jc w:val="both"/>
              <w:rPr>
                <w:rFonts w:ascii="Times New Roman" w:hAnsi="Times New Roman"/>
                <w:sz w:val="26"/>
                <w:lang w:val="uk-UA"/>
              </w:rPr>
            </w:pPr>
            <w:r>
              <w:rPr>
                <w:rFonts w:ascii="Times New Roman" w:hAnsi="Times New Roman"/>
                <w:sz w:val="26"/>
                <w:lang w:val="uk-UA"/>
              </w:rPr>
              <w:t>- забезпечення якості психологічної допомоги;</w:t>
            </w:r>
          </w:p>
          <w:p w14:paraId="3CFF1F1A" w14:textId="77777777" w:rsidR="00430922" w:rsidRDefault="00000000">
            <w:pPr>
              <w:jc w:val="both"/>
              <w:rPr>
                <w:rFonts w:ascii="Times New Roman" w:hAnsi="Times New Roman"/>
                <w:sz w:val="26"/>
                <w:lang w:val="uk-UA"/>
              </w:rPr>
            </w:pPr>
            <w:r>
              <w:rPr>
                <w:rFonts w:ascii="Times New Roman" w:hAnsi="Times New Roman"/>
                <w:sz w:val="26"/>
                <w:lang w:val="uk-UA"/>
              </w:rPr>
              <w:t>- позитивний вплив на здоров’я, безпеку, права та гідність громадян.</w:t>
            </w:r>
          </w:p>
          <w:p w14:paraId="2258F33A" w14:textId="77777777" w:rsidR="00430922" w:rsidRDefault="00430922">
            <w:pPr>
              <w:jc w:val="both"/>
              <w:rPr>
                <w:rFonts w:ascii="Times New Roman" w:hAnsi="Times New Roman"/>
                <w:sz w:val="26"/>
                <w:lang w:val="uk-UA"/>
              </w:rPr>
            </w:pPr>
          </w:p>
          <w:p w14:paraId="4977B630" w14:textId="77777777" w:rsidR="00430922" w:rsidRDefault="00000000">
            <w:pPr>
              <w:jc w:val="both"/>
              <w:rPr>
                <w:rFonts w:ascii="Times New Roman" w:hAnsi="Times New Roman"/>
                <w:sz w:val="26"/>
                <w:lang w:val="uk-UA"/>
              </w:rPr>
            </w:pPr>
            <w:r>
              <w:rPr>
                <w:rFonts w:ascii="Times New Roman" w:hAnsi="Times New Roman"/>
                <w:sz w:val="26"/>
                <w:lang w:val="uk-UA"/>
              </w:rPr>
              <w:lastRenderedPageBreak/>
              <w:t xml:space="preserve">Для суб’єктів господарювання: </w:t>
            </w:r>
          </w:p>
          <w:p w14:paraId="1095192C" w14:textId="77777777" w:rsidR="00430922" w:rsidRDefault="00000000">
            <w:pPr>
              <w:jc w:val="both"/>
              <w:rPr>
                <w:rFonts w:ascii="Times New Roman" w:hAnsi="Times New Roman"/>
                <w:sz w:val="26"/>
                <w:lang w:val="uk-UA"/>
              </w:rPr>
            </w:pPr>
            <w:r>
              <w:rPr>
                <w:rFonts w:ascii="Times New Roman" w:hAnsi="Times New Roman"/>
                <w:sz w:val="26"/>
                <w:lang w:val="uk-UA"/>
              </w:rPr>
              <w:t>- наявність чітко визначеного переліку вимог та прозорого алгоритму включення суб’єктів господарювання до Реєстру;</w:t>
            </w:r>
          </w:p>
          <w:p w14:paraId="42F35645" w14:textId="77777777" w:rsidR="00430922" w:rsidRDefault="00000000">
            <w:pPr>
              <w:jc w:val="both"/>
              <w:rPr>
                <w:rFonts w:ascii="Times New Roman" w:hAnsi="Times New Roman"/>
                <w:sz w:val="26"/>
                <w:lang w:val="uk-UA"/>
              </w:rPr>
            </w:pPr>
            <w:r>
              <w:rPr>
                <w:rFonts w:ascii="Times New Roman" w:hAnsi="Times New Roman"/>
                <w:sz w:val="26"/>
                <w:lang w:val="uk-UA"/>
              </w:rPr>
              <w:t>- створення сучасної системи здійснення психологічної реабілітації мультидисциплінарними командами фахівців-психологів на основі кейс-менеджменту, що відповідає сучасним вимогам до організації реабілітаційного процесу в закладах охорони здоров’я, що підвищує їх конкурентоспроможність;</w:t>
            </w:r>
          </w:p>
          <w:p w14:paraId="0C417221" w14:textId="77777777" w:rsidR="00430922" w:rsidRDefault="00000000">
            <w:pPr>
              <w:jc w:val="both"/>
              <w:rPr>
                <w:rFonts w:ascii="Times New Roman" w:hAnsi="Times New Roman"/>
                <w:sz w:val="26"/>
                <w:lang w:val="uk-UA"/>
              </w:rPr>
            </w:pPr>
            <w:r>
              <w:rPr>
                <w:rFonts w:ascii="Times New Roman" w:hAnsi="Times New Roman"/>
                <w:sz w:val="26"/>
                <w:lang w:val="uk-UA"/>
              </w:rPr>
              <w:t>- позитивний вплив на інновації та розвиток;</w:t>
            </w:r>
          </w:p>
          <w:p w14:paraId="45C42664" w14:textId="77777777" w:rsidR="00430922" w:rsidRDefault="00000000">
            <w:pPr>
              <w:jc w:val="both"/>
              <w:rPr>
                <w:rFonts w:ascii="Times New Roman" w:hAnsi="Times New Roman"/>
                <w:sz w:val="26"/>
                <w:lang w:val="uk-UA"/>
              </w:rPr>
            </w:pPr>
            <w:r>
              <w:rPr>
                <w:rFonts w:ascii="Times New Roman" w:hAnsi="Times New Roman"/>
                <w:sz w:val="26"/>
                <w:lang w:val="uk-UA"/>
              </w:rPr>
              <w:t xml:space="preserve">- позитивний вплив на доступ до фінансів (залучення додаткових коштів за бюджетною програмою Мінветеранів). </w:t>
            </w:r>
          </w:p>
          <w:p w14:paraId="1101B255" w14:textId="77777777" w:rsidR="00430922" w:rsidRDefault="00430922">
            <w:pPr>
              <w:jc w:val="both"/>
              <w:rPr>
                <w:rFonts w:ascii="Times New Roman" w:hAnsi="Times New Roman"/>
                <w:sz w:val="26"/>
                <w:lang w:val="uk-UA"/>
              </w:rPr>
            </w:pPr>
          </w:p>
        </w:tc>
        <w:tc>
          <w:tcPr>
            <w:tcW w:w="1783" w:type="dxa"/>
          </w:tcPr>
          <w:p w14:paraId="09231EDB" w14:textId="77777777" w:rsidR="00430922" w:rsidRDefault="00000000">
            <w:pPr>
              <w:jc w:val="both"/>
              <w:rPr>
                <w:rFonts w:ascii="Times New Roman" w:hAnsi="Times New Roman"/>
                <w:sz w:val="26"/>
                <w:lang w:val="uk-UA"/>
              </w:rPr>
            </w:pPr>
            <w:r>
              <w:rPr>
                <w:rFonts w:ascii="Times New Roman" w:hAnsi="Times New Roman"/>
                <w:sz w:val="26"/>
                <w:lang w:val="uk-UA"/>
              </w:rPr>
              <w:lastRenderedPageBreak/>
              <w:t>Для держави:</w:t>
            </w:r>
          </w:p>
          <w:p w14:paraId="23635EF9" w14:textId="77777777" w:rsidR="00430922" w:rsidRDefault="00000000">
            <w:pPr>
              <w:jc w:val="both"/>
              <w:rPr>
                <w:rFonts w:ascii="Times New Roman" w:hAnsi="Times New Roman"/>
                <w:sz w:val="26"/>
                <w:lang w:val="uk-UA"/>
              </w:rPr>
            </w:pPr>
            <w:r>
              <w:rPr>
                <w:rFonts w:ascii="Times New Roman" w:hAnsi="Times New Roman"/>
                <w:sz w:val="26"/>
                <w:lang w:val="uk-UA"/>
              </w:rPr>
              <w:t>орієнтовна потреба коштів на 2023 рік складатиме на рівні 2022 року – 75 874,0 тис. грн.</w:t>
            </w:r>
          </w:p>
          <w:p w14:paraId="363F3EC4" w14:textId="77777777" w:rsidR="00430922" w:rsidRDefault="00430922">
            <w:pPr>
              <w:jc w:val="both"/>
              <w:rPr>
                <w:rFonts w:ascii="Times New Roman" w:hAnsi="Times New Roman"/>
                <w:sz w:val="26"/>
                <w:lang w:val="uk-UA"/>
              </w:rPr>
            </w:pPr>
          </w:p>
          <w:p w14:paraId="3357A38B" w14:textId="77777777" w:rsidR="00430922" w:rsidRDefault="00430922">
            <w:pPr>
              <w:jc w:val="both"/>
              <w:rPr>
                <w:rFonts w:ascii="Times New Roman" w:hAnsi="Times New Roman"/>
                <w:sz w:val="26"/>
                <w:lang w:val="uk-UA"/>
              </w:rPr>
            </w:pPr>
          </w:p>
          <w:p w14:paraId="4429EA21" w14:textId="77777777" w:rsidR="00430922" w:rsidRDefault="00430922">
            <w:pPr>
              <w:jc w:val="both"/>
              <w:rPr>
                <w:rFonts w:ascii="Times New Roman" w:hAnsi="Times New Roman"/>
                <w:sz w:val="26"/>
                <w:lang w:val="uk-UA"/>
              </w:rPr>
            </w:pPr>
          </w:p>
          <w:p w14:paraId="1707DDA4" w14:textId="77777777" w:rsidR="00430922" w:rsidRDefault="00430922">
            <w:pPr>
              <w:jc w:val="both"/>
              <w:rPr>
                <w:rFonts w:ascii="Times New Roman" w:hAnsi="Times New Roman"/>
                <w:sz w:val="26"/>
                <w:lang w:val="uk-UA"/>
              </w:rPr>
            </w:pPr>
          </w:p>
          <w:p w14:paraId="23CE9467" w14:textId="77777777" w:rsidR="00430922" w:rsidRDefault="00430922">
            <w:pPr>
              <w:jc w:val="both"/>
              <w:rPr>
                <w:rFonts w:ascii="Times New Roman" w:hAnsi="Times New Roman"/>
                <w:sz w:val="26"/>
                <w:lang w:val="uk-UA"/>
              </w:rPr>
            </w:pPr>
          </w:p>
          <w:p w14:paraId="471FF342" w14:textId="77777777" w:rsidR="00430922" w:rsidRDefault="00430922">
            <w:pPr>
              <w:jc w:val="both"/>
              <w:rPr>
                <w:rFonts w:ascii="Times New Roman" w:hAnsi="Times New Roman"/>
                <w:sz w:val="26"/>
                <w:lang w:val="uk-UA"/>
              </w:rPr>
            </w:pPr>
          </w:p>
          <w:p w14:paraId="2FC3FB87" w14:textId="77777777" w:rsidR="00430922" w:rsidRDefault="00430922">
            <w:pPr>
              <w:jc w:val="both"/>
              <w:rPr>
                <w:rFonts w:ascii="Times New Roman" w:hAnsi="Times New Roman"/>
                <w:sz w:val="26"/>
                <w:lang w:val="uk-UA"/>
              </w:rPr>
            </w:pPr>
          </w:p>
          <w:p w14:paraId="0C9527A3" w14:textId="77777777" w:rsidR="00430922" w:rsidRDefault="00430922">
            <w:pPr>
              <w:jc w:val="both"/>
              <w:rPr>
                <w:rFonts w:ascii="Times New Roman" w:hAnsi="Times New Roman"/>
                <w:sz w:val="26"/>
                <w:lang w:val="uk-UA"/>
              </w:rPr>
            </w:pPr>
          </w:p>
          <w:p w14:paraId="511E5787" w14:textId="77777777" w:rsidR="00430922" w:rsidRDefault="00430922">
            <w:pPr>
              <w:jc w:val="both"/>
              <w:rPr>
                <w:rFonts w:ascii="Times New Roman" w:hAnsi="Times New Roman"/>
                <w:sz w:val="26"/>
                <w:lang w:val="uk-UA"/>
              </w:rPr>
            </w:pPr>
          </w:p>
          <w:p w14:paraId="1410C28B" w14:textId="77777777" w:rsidR="00430922" w:rsidRDefault="00430922">
            <w:pPr>
              <w:jc w:val="both"/>
              <w:rPr>
                <w:rFonts w:ascii="Times New Roman" w:hAnsi="Times New Roman"/>
                <w:sz w:val="26"/>
                <w:lang w:val="uk-UA"/>
              </w:rPr>
            </w:pPr>
          </w:p>
          <w:p w14:paraId="62040292" w14:textId="77777777" w:rsidR="00430922" w:rsidRDefault="00430922">
            <w:pPr>
              <w:jc w:val="both"/>
              <w:rPr>
                <w:rFonts w:ascii="Times New Roman" w:hAnsi="Times New Roman"/>
                <w:sz w:val="26"/>
                <w:lang w:val="uk-UA"/>
              </w:rPr>
            </w:pPr>
          </w:p>
          <w:p w14:paraId="4EE37E18" w14:textId="77777777" w:rsidR="00430922" w:rsidRDefault="00430922">
            <w:pPr>
              <w:jc w:val="both"/>
              <w:rPr>
                <w:rFonts w:ascii="Times New Roman" w:hAnsi="Times New Roman"/>
                <w:sz w:val="26"/>
                <w:lang w:val="uk-UA"/>
              </w:rPr>
            </w:pPr>
          </w:p>
          <w:p w14:paraId="08693D82" w14:textId="77777777" w:rsidR="00430922" w:rsidRDefault="00430922">
            <w:pPr>
              <w:jc w:val="both"/>
              <w:rPr>
                <w:rFonts w:ascii="Times New Roman" w:hAnsi="Times New Roman"/>
                <w:sz w:val="26"/>
                <w:lang w:val="uk-UA"/>
              </w:rPr>
            </w:pPr>
          </w:p>
          <w:p w14:paraId="48694F16" w14:textId="77777777" w:rsidR="00430922" w:rsidRDefault="00430922">
            <w:pPr>
              <w:jc w:val="both"/>
              <w:rPr>
                <w:rFonts w:ascii="Times New Roman" w:hAnsi="Times New Roman"/>
                <w:sz w:val="26"/>
                <w:lang w:val="uk-UA"/>
              </w:rPr>
            </w:pPr>
          </w:p>
          <w:p w14:paraId="0B0BD4F0" w14:textId="77777777" w:rsidR="00430922" w:rsidRDefault="00430922">
            <w:pPr>
              <w:jc w:val="both"/>
              <w:rPr>
                <w:rFonts w:ascii="Times New Roman" w:hAnsi="Times New Roman"/>
                <w:sz w:val="26"/>
                <w:lang w:val="uk-UA"/>
              </w:rPr>
            </w:pPr>
          </w:p>
          <w:p w14:paraId="5FF4BBC6" w14:textId="77777777" w:rsidR="00430922" w:rsidRDefault="00430922">
            <w:pPr>
              <w:jc w:val="both"/>
              <w:rPr>
                <w:rFonts w:ascii="Times New Roman" w:hAnsi="Times New Roman"/>
                <w:sz w:val="26"/>
                <w:lang w:val="uk-UA"/>
              </w:rPr>
            </w:pPr>
          </w:p>
          <w:p w14:paraId="4AD48ACC" w14:textId="77777777" w:rsidR="00430922" w:rsidRDefault="00430922">
            <w:pPr>
              <w:jc w:val="both"/>
              <w:rPr>
                <w:rFonts w:ascii="Times New Roman" w:hAnsi="Times New Roman"/>
                <w:sz w:val="26"/>
                <w:lang w:val="uk-UA"/>
              </w:rPr>
            </w:pPr>
          </w:p>
          <w:p w14:paraId="56DD9537" w14:textId="77777777" w:rsidR="00430922" w:rsidRDefault="00430922">
            <w:pPr>
              <w:jc w:val="both"/>
              <w:rPr>
                <w:rFonts w:ascii="Times New Roman" w:hAnsi="Times New Roman"/>
                <w:sz w:val="26"/>
                <w:lang w:val="uk-UA"/>
              </w:rPr>
            </w:pPr>
          </w:p>
          <w:p w14:paraId="0DB24868" w14:textId="77777777" w:rsidR="00430922" w:rsidRDefault="00430922">
            <w:pPr>
              <w:jc w:val="both"/>
              <w:rPr>
                <w:rFonts w:ascii="Times New Roman" w:hAnsi="Times New Roman"/>
                <w:sz w:val="26"/>
                <w:lang w:val="uk-UA"/>
              </w:rPr>
            </w:pPr>
          </w:p>
          <w:p w14:paraId="0B908711" w14:textId="77777777" w:rsidR="00430922" w:rsidRDefault="00430922">
            <w:pPr>
              <w:jc w:val="both"/>
              <w:rPr>
                <w:rFonts w:ascii="Times New Roman" w:hAnsi="Times New Roman"/>
                <w:sz w:val="26"/>
                <w:lang w:val="uk-UA"/>
              </w:rPr>
            </w:pPr>
          </w:p>
          <w:p w14:paraId="429A3D04" w14:textId="77777777" w:rsidR="00430922" w:rsidRDefault="00430922">
            <w:pPr>
              <w:jc w:val="both"/>
              <w:rPr>
                <w:rFonts w:ascii="Times New Roman" w:hAnsi="Times New Roman"/>
                <w:sz w:val="26"/>
                <w:lang w:val="uk-UA"/>
              </w:rPr>
            </w:pPr>
          </w:p>
          <w:p w14:paraId="322391E1" w14:textId="77777777" w:rsidR="00430922" w:rsidRDefault="00430922">
            <w:pPr>
              <w:jc w:val="both"/>
              <w:rPr>
                <w:rFonts w:ascii="Times New Roman" w:hAnsi="Times New Roman"/>
                <w:sz w:val="26"/>
                <w:lang w:val="uk-UA"/>
              </w:rPr>
            </w:pPr>
          </w:p>
          <w:p w14:paraId="19A02CE6" w14:textId="77777777" w:rsidR="00430922" w:rsidRDefault="00430922">
            <w:pPr>
              <w:jc w:val="both"/>
              <w:rPr>
                <w:rFonts w:ascii="Times New Roman" w:hAnsi="Times New Roman"/>
                <w:sz w:val="26"/>
                <w:lang w:val="uk-UA"/>
              </w:rPr>
            </w:pPr>
          </w:p>
          <w:p w14:paraId="30E723F6" w14:textId="77777777" w:rsidR="00430922" w:rsidRDefault="00430922">
            <w:pPr>
              <w:jc w:val="both"/>
              <w:rPr>
                <w:rFonts w:ascii="Times New Roman" w:hAnsi="Times New Roman"/>
                <w:sz w:val="26"/>
                <w:lang w:val="uk-UA"/>
              </w:rPr>
            </w:pPr>
          </w:p>
          <w:p w14:paraId="2E5B54E2" w14:textId="77777777" w:rsidR="00430922" w:rsidRDefault="00430922">
            <w:pPr>
              <w:jc w:val="both"/>
              <w:rPr>
                <w:rFonts w:ascii="Times New Roman" w:hAnsi="Times New Roman"/>
                <w:sz w:val="26"/>
                <w:lang w:val="uk-UA"/>
              </w:rPr>
            </w:pPr>
          </w:p>
          <w:p w14:paraId="00D424A4" w14:textId="77777777" w:rsidR="00430922" w:rsidRDefault="00430922">
            <w:pPr>
              <w:jc w:val="both"/>
              <w:rPr>
                <w:rFonts w:ascii="Times New Roman" w:hAnsi="Times New Roman"/>
                <w:sz w:val="26"/>
                <w:lang w:val="uk-UA"/>
              </w:rPr>
            </w:pPr>
          </w:p>
          <w:p w14:paraId="658E6671" w14:textId="77777777" w:rsidR="00430922" w:rsidRDefault="00430922">
            <w:pPr>
              <w:jc w:val="both"/>
              <w:rPr>
                <w:rFonts w:ascii="Times New Roman" w:hAnsi="Times New Roman"/>
                <w:sz w:val="26"/>
                <w:lang w:val="uk-UA"/>
              </w:rPr>
            </w:pPr>
          </w:p>
          <w:p w14:paraId="22FCE61A" w14:textId="77777777" w:rsidR="00430922" w:rsidRDefault="00430922">
            <w:pPr>
              <w:jc w:val="both"/>
              <w:rPr>
                <w:rFonts w:ascii="Times New Roman" w:hAnsi="Times New Roman"/>
                <w:sz w:val="26"/>
                <w:lang w:val="uk-UA"/>
              </w:rPr>
            </w:pPr>
          </w:p>
          <w:p w14:paraId="5B144BB6" w14:textId="77777777" w:rsidR="00430922" w:rsidRDefault="00430922">
            <w:pPr>
              <w:jc w:val="both"/>
              <w:rPr>
                <w:rFonts w:ascii="Times New Roman" w:hAnsi="Times New Roman"/>
                <w:sz w:val="26"/>
                <w:lang w:val="uk-UA"/>
              </w:rPr>
            </w:pPr>
          </w:p>
          <w:p w14:paraId="34A95DE9" w14:textId="77777777" w:rsidR="00430922" w:rsidRDefault="00430922">
            <w:pPr>
              <w:jc w:val="both"/>
              <w:rPr>
                <w:rFonts w:ascii="Times New Roman" w:hAnsi="Times New Roman"/>
                <w:sz w:val="26"/>
                <w:lang w:val="uk-UA"/>
              </w:rPr>
            </w:pPr>
          </w:p>
          <w:p w14:paraId="6084707C" w14:textId="77777777" w:rsidR="00430922" w:rsidRDefault="00430922">
            <w:pPr>
              <w:jc w:val="both"/>
              <w:rPr>
                <w:rFonts w:ascii="Times New Roman" w:hAnsi="Times New Roman"/>
                <w:sz w:val="26"/>
                <w:lang w:val="uk-UA"/>
              </w:rPr>
            </w:pPr>
          </w:p>
          <w:p w14:paraId="53DC31C4" w14:textId="77777777" w:rsidR="00430922" w:rsidRDefault="00430922">
            <w:pPr>
              <w:jc w:val="both"/>
              <w:rPr>
                <w:rFonts w:ascii="Times New Roman" w:hAnsi="Times New Roman"/>
                <w:sz w:val="26"/>
                <w:lang w:val="uk-UA"/>
              </w:rPr>
            </w:pPr>
          </w:p>
          <w:p w14:paraId="416E1B8C" w14:textId="77777777" w:rsidR="00430922" w:rsidRDefault="00430922">
            <w:pPr>
              <w:jc w:val="both"/>
              <w:rPr>
                <w:rFonts w:ascii="Times New Roman" w:hAnsi="Times New Roman"/>
                <w:sz w:val="26"/>
                <w:lang w:val="uk-UA"/>
              </w:rPr>
            </w:pPr>
          </w:p>
          <w:p w14:paraId="3823A08D" w14:textId="77777777" w:rsidR="00430922" w:rsidRDefault="00430922">
            <w:pPr>
              <w:jc w:val="both"/>
              <w:rPr>
                <w:rFonts w:ascii="Times New Roman" w:hAnsi="Times New Roman"/>
                <w:sz w:val="26"/>
                <w:lang w:val="uk-UA"/>
              </w:rPr>
            </w:pPr>
          </w:p>
          <w:p w14:paraId="49D32121" w14:textId="77777777" w:rsidR="00430922" w:rsidRDefault="00430922">
            <w:pPr>
              <w:jc w:val="both"/>
              <w:rPr>
                <w:rFonts w:ascii="Times New Roman" w:hAnsi="Times New Roman"/>
                <w:sz w:val="26"/>
                <w:lang w:val="uk-UA"/>
              </w:rPr>
            </w:pPr>
          </w:p>
          <w:p w14:paraId="43AADC02" w14:textId="77777777" w:rsidR="00430922" w:rsidRDefault="00430922">
            <w:pPr>
              <w:jc w:val="both"/>
              <w:rPr>
                <w:rFonts w:ascii="Times New Roman" w:hAnsi="Times New Roman"/>
                <w:sz w:val="26"/>
                <w:lang w:val="uk-UA"/>
              </w:rPr>
            </w:pPr>
          </w:p>
          <w:p w14:paraId="0CC71D95" w14:textId="77777777" w:rsidR="00430922" w:rsidRDefault="00430922">
            <w:pPr>
              <w:jc w:val="both"/>
              <w:rPr>
                <w:rFonts w:ascii="Times New Roman" w:hAnsi="Times New Roman"/>
                <w:sz w:val="26"/>
                <w:lang w:val="uk-UA"/>
              </w:rPr>
            </w:pPr>
          </w:p>
          <w:p w14:paraId="4DC6A356" w14:textId="77777777" w:rsidR="00430922" w:rsidRDefault="00430922">
            <w:pPr>
              <w:jc w:val="both"/>
              <w:rPr>
                <w:rFonts w:ascii="Times New Roman" w:hAnsi="Times New Roman"/>
                <w:sz w:val="26"/>
                <w:lang w:val="uk-UA"/>
              </w:rPr>
            </w:pPr>
          </w:p>
          <w:p w14:paraId="5874FBA6" w14:textId="77777777" w:rsidR="00430922" w:rsidRDefault="00430922">
            <w:pPr>
              <w:jc w:val="both"/>
              <w:rPr>
                <w:rFonts w:ascii="Times New Roman" w:hAnsi="Times New Roman"/>
                <w:sz w:val="26"/>
                <w:lang w:val="uk-UA"/>
              </w:rPr>
            </w:pPr>
          </w:p>
          <w:p w14:paraId="1AE6EE3E" w14:textId="77777777" w:rsidR="00430922" w:rsidRDefault="00430922">
            <w:pPr>
              <w:jc w:val="both"/>
              <w:rPr>
                <w:rFonts w:ascii="Times New Roman" w:hAnsi="Times New Roman"/>
                <w:sz w:val="26"/>
                <w:lang w:val="uk-UA"/>
              </w:rPr>
            </w:pPr>
          </w:p>
          <w:p w14:paraId="284E7952" w14:textId="77777777" w:rsidR="00430922" w:rsidRDefault="00430922">
            <w:pPr>
              <w:jc w:val="both"/>
              <w:rPr>
                <w:rFonts w:ascii="Times New Roman" w:hAnsi="Times New Roman"/>
                <w:sz w:val="26"/>
                <w:lang w:val="uk-UA"/>
              </w:rPr>
            </w:pPr>
          </w:p>
          <w:p w14:paraId="65910C7D" w14:textId="77777777" w:rsidR="00430922" w:rsidRDefault="00430922">
            <w:pPr>
              <w:jc w:val="both"/>
              <w:rPr>
                <w:rFonts w:ascii="Times New Roman" w:hAnsi="Times New Roman"/>
                <w:sz w:val="26"/>
                <w:lang w:val="uk-UA"/>
              </w:rPr>
            </w:pPr>
          </w:p>
          <w:p w14:paraId="0898FF1D" w14:textId="77777777" w:rsidR="00430922" w:rsidRDefault="00430922">
            <w:pPr>
              <w:jc w:val="both"/>
              <w:rPr>
                <w:rFonts w:ascii="Times New Roman" w:hAnsi="Times New Roman"/>
                <w:sz w:val="26"/>
                <w:lang w:val="uk-UA"/>
              </w:rPr>
            </w:pPr>
          </w:p>
          <w:p w14:paraId="707FBDFE" w14:textId="77777777" w:rsidR="00430922" w:rsidRDefault="00430922">
            <w:pPr>
              <w:jc w:val="both"/>
              <w:rPr>
                <w:rFonts w:ascii="Times New Roman" w:hAnsi="Times New Roman"/>
                <w:sz w:val="26"/>
                <w:lang w:val="uk-UA"/>
              </w:rPr>
            </w:pPr>
          </w:p>
          <w:p w14:paraId="6FA8BDE5" w14:textId="77777777" w:rsidR="00430922" w:rsidRDefault="00430922">
            <w:pPr>
              <w:jc w:val="both"/>
              <w:rPr>
                <w:rFonts w:ascii="Times New Roman" w:hAnsi="Times New Roman"/>
                <w:sz w:val="26"/>
                <w:lang w:val="uk-UA"/>
              </w:rPr>
            </w:pPr>
          </w:p>
          <w:p w14:paraId="3789E783" w14:textId="77777777" w:rsidR="00430922" w:rsidRDefault="00430922">
            <w:pPr>
              <w:jc w:val="both"/>
              <w:rPr>
                <w:rFonts w:ascii="Times New Roman" w:hAnsi="Times New Roman"/>
                <w:sz w:val="26"/>
                <w:lang w:val="uk-UA"/>
              </w:rPr>
            </w:pPr>
          </w:p>
          <w:p w14:paraId="40836707" w14:textId="77777777" w:rsidR="00430922" w:rsidRDefault="00430922">
            <w:pPr>
              <w:jc w:val="both"/>
              <w:rPr>
                <w:rFonts w:ascii="Times New Roman" w:hAnsi="Times New Roman"/>
                <w:sz w:val="26"/>
                <w:lang w:val="uk-UA"/>
              </w:rPr>
            </w:pPr>
          </w:p>
          <w:p w14:paraId="0C145A9A" w14:textId="77777777" w:rsidR="00430922" w:rsidRDefault="00430922">
            <w:pPr>
              <w:jc w:val="both"/>
              <w:rPr>
                <w:rFonts w:ascii="Times New Roman" w:hAnsi="Times New Roman"/>
                <w:sz w:val="26"/>
                <w:lang w:val="uk-UA"/>
              </w:rPr>
            </w:pPr>
          </w:p>
          <w:p w14:paraId="03E47E5F" w14:textId="77777777" w:rsidR="00430922" w:rsidRDefault="00000000">
            <w:pPr>
              <w:jc w:val="both"/>
              <w:rPr>
                <w:rFonts w:ascii="Times New Roman" w:hAnsi="Times New Roman"/>
                <w:sz w:val="26"/>
                <w:lang w:val="uk-UA"/>
              </w:rPr>
            </w:pPr>
            <w:r>
              <w:rPr>
                <w:rFonts w:ascii="Times New Roman" w:hAnsi="Times New Roman"/>
                <w:sz w:val="26"/>
                <w:lang w:val="uk-UA"/>
              </w:rPr>
              <w:lastRenderedPageBreak/>
              <w:t>Орієнтовна сума витрат на 2023 рік становитиме: 38 400 000 грн.</w:t>
            </w:r>
          </w:p>
          <w:p w14:paraId="6FD0AD5E" w14:textId="77777777" w:rsidR="00430922" w:rsidRDefault="00430922">
            <w:pPr>
              <w:jc w:val="both"/>
              <w:rPr>
                <w:rFonts w:ascii="Times New Roman" w:hAnsi="Times New Roman"/>
                <w:sz w:val="26"/>
                <w:lang w:val="uk-UA"/>
              </w:rPr>
            </w:pPr>
          </w:p>
        </w:tc>
        <w:tc>
          <w:tcPr>
            <w:tcW w:w="2327" w:type="dxa"/>
          </w:tcPr>
          <w:p w14:paraId="3397EB75" w14:textId="77777777" w:rsidR="00430922" w:rsidRDefault="00000000">
            <w:pPr>
              <w:jc w:val="both"/>
              <w:rPr>
                <w:rFonts w:ascii="Times New Roman" w:hAnsi="Times New Roman"/>
                <w:sz w:val="26"/>
                <w:lang w:val="uk-UA"/>
              </w:rPr>
            </w:pPr>
            <w:r>
              <w:rPr>
                <w:rFonts w:ascii="Times New Roman" w:hAnsi="Times New Roman"/>
                <w:sz w:val="26"/>
                <w:lang w:val="uk-UA"/>
              </w:rPr>
              <w:lastRenderedPageBreak/>
              <w:t>Прийняття проєкту постанови дозволяє досягнути визначених цілей державного регулювання.</w:t>
            </w:r>
          </w:p>
        </w:tc>
      </w:tr>
      <w:tr w:rsidR="00430922" w:rsidRPr="00735CCD" w14:paraId="0DA812FC" w14:textId="77777777">
        <w:tc>
          <w:tcPr>
            <w:tcW w:w="2265" w:type="dxa"/>
          </w:tcPr>
          <w:p w14:paraId="73B04A17" w14:textId="77777777" w:rsidR="00430922" w:rsidRDefault="00000000">
            <w:pPr>
              <w:jc w:val="center"/>
              <w:rPr>
                <w:rFonts w:ascii="Times New Roman" w:hAnsi="Times New Roman"/>
                <w:sz w:val="26"/>
                <w:lang w:val="uk-UA"/>
              </w:rPr>
            </w:pPr>
            <w:r>
              <w:rPr>
                <w:rFonts w:ascii="Times New Roman" w:hAnsi="Times New Roman"/>
                <w:sz w:val="26"/>
                <w:lang w:val="uk-UA"/>
              </w:rPr>
              <w:lastRenderedPageBreak/>
              <w:t>Альтернатива 2</w:t>
            </w:r>
          </w:p>
          <w:p w14:paraId="4D1757B4" w14:textId="77777777" w:rsidR="00430922" w:rsidRDefault="00430922">
            <w:pPr>
              <w:jc w:val="both"/>
              <w:rPr>
                <w:rFonts w:ascii="Times New Roman" w:hAnsi="Times New Roman"/>
                <w:sz w:val="26"/>
                <w:lang w:val="uk-UA"/>
              </w:rPr>
            </w:pPr>
          </w:p>
        </w:tc>
        <w:tc>
          <w:tcPr>
            <w:tcW w:w="3259" w:type="dxa"/>
          </w:tcPr>
          <w:p w14:paraId="138C7E44" w14:textId="77777777" w:rsidR="00430922" w:rsidRDefault="00000000">
            <w:pPr>
              <w:jc w:val="both"/>
              <w:rPr>
                <w:rFonts w:ascii="Times New Roman" w:hAnsi="Times New Roman"/>
                <w:sz w:val="26"/>
                <w:lang w:val="uk-UA"/>
              </w:rPr>
            </w:pPr>
            <w:r>
              <w:rPr>
                <w:rFonts w:ascii="Times New Roman" w:hAnsi="Times New Roman"/>
                <w:sz w:val="26"/>
                <w:lang w:val="uk-UA"/>
              </w:rPr>
              <w:t xml:space="preserve">Вигоди для держави, громадян та суб’єктів господарювання не передбачаються. </w:t>
            </w:r>
          </w:p>
        </w:tc>
        <w:tc>
          <w:tcPr>
            <w:tcW w:w="1783" w:type="dxa"/>
          </w:tcPr>
          <w:p w14:paraId="0FD4C36F" w14:textId="77777777" w:rsidR="00430922" w:rsidRDefault="00000000">
            <w:pPr>
              <w:jc w:val="both"/>
              <w:rPr>
                <w:rFonts w:ascii="Times New Roman" w:hAnsi="Times New Roman"/>
                <w:sz w:val="26"/>
                <w:lang w:val="uk-UA"/>
              </w:rPr>
            </w:pPr>
            <w:r>
              <w:rPr>
                <w:rFonts w:ascii="Times New Roman" w:hAnsi="Times New Roman"/>
                <w:sz w:val="26"/>
                <w:lang w:val="uk-UA"/>
              </w:rPr>
              <w:t>Для держави:</w:t>
            </w:r>
          </w:p>
          <w:p w14:paraId="705A2CCC" w14:textId="77777777" w:rsidR="00430922" w:rsidRDefault="00000000">
            <w:pPr>
              <w:jc w:val="both"/>
              <w:rPr>
                <w:rFonts w:ascii="Times New Roman" w:hAnsi="Times New Roman"/>
                <w:sz w:val="26"/>
                <w:lang w:val="uk-UA"/>
              </w:rPr>
            </w:pPr>
            <w:r>
              <w:rPr>
                <w:rFonts w:ascii="Times New Roman" w:hAnsi="Times New Roman"/>
                <w:sz w:val="26"/>
                <w:lang w:val="uk-UA"/>
              </w:rPr>
              <w:t>орієнтовна потреба коштів на 2023 рік складатиме на рівні 2022 року – 75 874,0 тис. грн.</w:t>
            </w:r>
          </w:p>
        </w:tc>
        <w:tc>
          <w:tcPr>
            <w:tcW w:w="2327" w:type="dxa"/>
          </w:tcPr>
          <w:p w14:paraId="4E758625" w14:textId="77777777" w:rsidR="00430922" w:rsidRDefault="00000000">
            <w:pPr>
              <w:jc w:val="both"/>
              <w:rPr>
                <w:rFonts w:ascii="Times New Roman" w:hAnsi="Times New Roman"/>
                <w:sz w:val="26"/>
                <w:lang w:val="uk-UA"/>
              </w:rPr>
            </w:pPr>
            <w:r>
              <w:rPr>
                <w:rFonts w:ascii="Times New Roman" w:hAnsi="Times New Roman"/>
                <w:sz w:val="26"/>
                <w:lang w:val="uk-UA"/>
              </w:rPr>
              <w:t>Залишення ситуації в існуючому стані не дозволяє досягнути поставлених цілей регулювання, отже за таких умов, описана проблема продовжує існувати.</w:t>
            </w:r>
          </w:p>
        </w:tc>
      </w:tr>
    </w:tbl>
    <w:p w14:paraId="03ED0359" w14:textId="77777777" w:rsidR="00430922" w:rsidRDefault="00430922">
      <w:pPr>
        <w:spacing w:after="0" w:line="240" w:lineRule="auto"/>
        <w:ind w:firstLine="720"/>
        <w:jc w:val="both"/>
        <w:rPr>
          <w:rFonts w:ascii="Times New Roman" w:hAnsi="Times New Roman"/>
          <w:sz w:val="26"/>
          <w:lang w:val="uk-UA"/>
        </w:rPr>
      </w:pPr>
    </w:p>
    <w:p w14:paraId="36A630D8" w14:textId="77777777" w:rsidR="00430922" w:rsidRDefault="00430922">
      <w:pPr>
        <w:spacing w:after="0" w:line="240" w:lineRule="auto"/>
        <w:ind w:firstLine="720"/>
        <w:jc w:val="both"/>
        <w:rPr>
          <w:rFonts w:ascii="Times New Roman" w:hAnsi="Times New Roman"/>
          <w:sz w:val="26"/>
          <w:lang w:val="uk-UA"/>
        </w:rPr>
      </w:pPr>
    </w:p>
    <w:tbl>
      <w:tblPr>
        <w:tblStyle w:val="a6"/>
        <w:tblW w:w="9634" w:type="dxa"/>
        <w:tblLook w:val="04A0" w:firstRow="1" w:lastRow="0" w:firstColumn="1" w:lastColumn="0" w:noHBand="0" w:noVBand="1"/>
      </w:tblPr>
      <w:tblGrid>
        <w:gridCol w:w="1773"/>
        <w:gridCol w:w="4728"/>
        <w:gridCol w:w="3133"/>
      </w:tblGrid>
      <w:tr w:rsidR="00430922" w:rsidRPr="00735CCD" w14:paraId="08FC69AA" w14:textId="77777777">
        <w:tc>
          <w:tcPr>
            <w:tcW w:w="0" w:type="auto"/>
          </w:tcPr>
          <w:p w14:paraId="20AC9B33" w14:textId="77777777" w:rsidR="00430922" w:rsidRDefault="00000000">
            <w:pPr>
              <w:jc w:val="both"/>
              <w:rPr>
                <w:rFonts w:ascii="Times New Roman" w:hAnsi="Times New Roman"/>
                <w:sz w:val="26"/>
                <w:lang w:val="uk-UA"/>
              </w:rPr>
            </w:pPr>
            <w:r>
              <w:rPr>
                <w:rFonts w:ascii="Times New Roman" w:hAnsi="Times New Roman"/>
                <w:b/>
                <w:sz w:val="26"/>
                <w:lang w:val="uk-UA"/>
              </w:rPr>
              <w:t>Рейтинг</w:t>
            </w:r>
          </w:p>
        </w:tc>
        <w:tc>
          <w:tcPr>
            <w:tcW w:w="0" w:type="auto"/>
          </w:tcPr>
          <w:p w14:paraId="18CAA701" w14:textId="77777777" w:rsidR="00430922" w:rsidRDefault="00000000">
            <w:pPr>
              <w:jc w:val="both"/>
              <w:rPr>
                <w:rFonts w:ascii="Times New Roman" w:hAnsi="Times New Roman"/>
                <w:sz w:val="26"/>
                <w:lang w:val="uk-UA"/>
              </w:rPr>
            </w:pPr>
            <w:r>
              <w:rPr>
                <w:rFonts w:ascii="Times New Roman" w:hAnsi="Times New Roman"/>
                <w:b/>
                <w:sz w:val="26"/>
                <w:lang w:val="uk-UA"/>
              </w:rPr>
              <w:t>Аргументи щодо переваги обраної альтернативи/причини відмови від альтернативи</w:t>
            </w:r>
          </w:p>
        </w:tc>
        <w:tc>
          <w:tcPr>
            <w:tcW w:w="3133" w:type="dxa"/>
          </w:tcPr>
          <w:p w14:paraId="3175A309" w14:textId="77777777" w:rsidR="00430922" w:rsidRDefault="00000000">
            <w:pPr>
              <w:jc w:val="both"/>
              <w:rPr>
                <w:rFonts w:ascii="Times New Roman" w:hAnsi="Times New Roman"/>
                <w:sz w:val="26"/>
                <w:lang w:val="uk-UA"/>
              </w:rPr>
            </w:pPr>
            <w:r>
              <w:rPr>
                <w:rFonts w:ascii="Times New Roman" w:hAnsi="Times New Roman"/>
                <w:b/>
                <w:sz w:val="26"/>
                <w:lang w:val="uk-UA"/>
              </w:rPr>
              <w:t xml:space="preserve">Оцінка ризику зовнішніх чинників на </w:t>
            </w:r>
            <w:r>
              <w:rPr>
                <w:rFonts w:ascii="Times New Roman" w:hAnsi="Times New Roman"/>
                <w:b/>
                <w:sz w:val="26"/>
                <w:lang w:val="uk-UA"/>
              </w:rPr>
              <w:lastRenderedPageBreak/>
              <w:t>дію запропонованого регуляторного акта</w:t>
            </w:r>
          </w:p>
        </w:tc>
      </w:tr>
      <w:tr w:rsidR="00430922" w:rsidRPr="00735CCD" w14:paraId="15992F7E" w14:textId="77777777">
        <w:tc>
          <w:tcPr>
            <w:tcW w:w="0" w:type="auto"/>
          </w:tcPr>
          <w:p w14:paraId="566E469E" w14:textId="77777777" w:rsidR="00430922" w:rsidRDefault="00000000">
            <w:pPr>
              <w:jc w:val="both"/>
              <w:rPr>
                <w:rFonts w:ascii="Times New Roman" w:hAnsi="Times New Roman"/>
                <w:sz w:val="26"/>
                <w:lang w:val="uk-UA"/>
              </w:rPr>
            </w:pPr>
            <w:proofErr w:type="spellStart"/>
            <w:r>
              <w:rPr>
                <w:rFonts w:ascii="Times New Roman" w:hAnsi="Times New Roman"/>
                <w:sz w:val="26"/>
              </w:rPr>
              <w:lastRenderedPageBreak/>
              <w:t>Альтернатива</w:t>
            </w:r>
            <w:proofErr w:type="spellEnd"/>
            <w:r>
              <w:rPr>
                <w:rFonts w:ascii="Times New Roman" w:hAnsi="Times New Roman"/>
                <w:sz w:val="26"/>
              </w:rPr>
              <w:t xml:space="preserve"> 1</w:t>
            </w:r>
          </w:p>
        </w:tc>
        <w:tc>
          <w:tcPr>
            <w:tcW w:w="0" w:type="auto"/>
          </w:tcPr>
          <w:p w14:paraId="5F980D83" w14:textId="77777777" w:rsidR="00430922" w:rsidRDefault="00000000">
            <w:pPr>
              <w:jc w:val="both"/>
              <w:rPr>
                <w:rFonts w:ascii="Times New Roman" w:hAnsi="Times New Roman"/>
                <w:sz w:val="26"/>
                <w:lang w:val="uk-UA"/>
              </w:rPr>
            </w:pPr>
            <w:r>
              <w:rPr>
                <w:rFonts w:ascii="Times New Roman" w:hAnsi="Times New Roman"/>
                <w:sz w:val="26"/>
                <w:lang w:val="uk-UA"/>
              </w:rPr>
              <w:t>Прийняття проєкту постанови є найбільш прийнятним і найбільш обґрунтованим шляхом розв’язання виявленої проблеми та досягнення цілей державного регулювання у сфері психічного здоров’я ветеранів війни.</w:t>
            </w:r>
          </w:p>
        </w:tc>
        <w:tc>
          <w:tcPr>
            <w:tcW w:w="3133" w:type="dxa"/>
          </w:tcPr>
          <w:p w14:paraId="674B4CEE" w14:textId="77777777" w:rsidR="00430922" w:rsidRDefault="00000000">
            <w:pPr>
              <w:jc w:val="both"/>
              <w:rPr>
                <w:rFonts w:ascii="Times New Roman" w:hAnsi="Times New Roman"/>
                <w:sz w:val="26"/>
                <w:lang w:val="uk-UA"/>
              </w:rPr>
            </w:pPr>
            <w:r>
              <w:rPr>
                <w:rFonts w:ascii="Times New Roman" w:hAnsi="Times New Roman"/>
                <w:sz w:val="26"/>
                <w:lang w:val="uk-UA"/>
              </w:rPr>
              <w:t>Продовження воєнного стану негативно впливає на досягнення цілей</w:t>
            </w:r>
          </w:p>
          <w:p w14:paraId="4ED32758" w14:textId="77777777" w:rsidR="00430922" w:rsidRDefault="00000000">
            <w:pPr>
              <w:jc w:val="both"/>
              <w:rPr>
                <w:rFonts w:ascii="Times New Roman" w:hAnsi="Times New Roman"/>
                <w:sz w:val="26"/>
                <w:lang w:val="uk-UA"/>
              </w:rPr>
            </w:pPr>
            <w:r>
              <w:rPr>
                <w:rFonts w:ascii="Times New Roman" w:hAnsi="Times New Roman"/>
                <w:sz w:val="26"/>
                <w:lang w:val="uk-UA"/>
              </w:rPr>
              <w:t>державного регулювання у сфері психічного здоров’я ветеранів війни.</w:t>
            </w:r>
          </w:p>
        </w:tc>
      </w:tr>
      <w:tr w:rsidR="00430922" w14:paraId="796BF97E" w14:textId="77777777">
        <w:tc>
          <w:tcPr>
            <w:tcW w:w="0" w:type="auto"/>
          </w:tcPr>
          <w:p w14:paraId="30BFA40E" w14:textId="77777777" w:rsidR="00430922" w:rsidRDefault="00000000">
            <w:pPr>
              <w:jc w:val="both"/>
              <w:rPr>
                <w:rFonts w:ascii="Times New Roman" w:hAnsi="Times New Roman"/>
                <w:sz w:val="26"/>
                <w:lang w:val="uk-UA"/>
              </w:rPr>
            </w:pPr>
            <w:proofErr w:type="spellStart"/>
            <w:r>
              <w:rPr>
                <w:rFonts w:ascii="Times New Roman" w:hAnsi="Times New Roman"/>
                <w:sz w:val="26"/>
              </w:rPr>
              <w:t>Альтернатива</w:t>
            </w:r>
            <w:proofErr w:type="spellEnd"/>
            <w:r>
              <w:rPr>
                <w:rFonts w:ascii="Times New Roman" w:hAnsi="Times New Roman"/>
                <w:sz w:val="26"/>
              </w:rPr>
              <w:t xml:space="preserve"> 2</w:t>
            </w:r>
          </w:p>
        </w:tc>
        <w:tc>
          <w:tcPr>
            <w:tcW w:w="0" w:type="auto"/>
          </w:tcPr>
          <w:p w14:paraId="4305782A" w14:textId="77777777" w:rsidR="00430922" w:rsidRDefault="00000000">
            <w:pPr>
              <w:jc w:val="both"/>
              <w:rPr>
                <w:rFonts w:ascii="Times New Roman" w:hAnsi="Times New Roman"/>
                <w:sz w:val="26"/>
                <w:lang w:val="uk-UA"/>
              </w:rPr>
            </w:pPr>
            <w:r>
              <w:rPr>
                <w:rFonts w:ascii="Times New Roman" w:hAnsi="Times New Roman"/>
                <w:sz w:val="26"/>
                <w:lang w:val="uk-UA"/>
              </w:rPr>
              <w:t>Залишення існуючої ситуації не може забезпечити досягнення жодної з цілей державного регулювання, а отже розв’язати виявлену проблему у сфері психічного здоров’я ветеранів війни.</w:t>
            </w:r>
          </w:p>
        </w:tc>
        <w:tc>
          <w:tcPr>
            <w:tcW w:w="3133" w:type="dxa"/>
          </w:tcPr>
          <w:p w14:paraId="43DFBD3F" w14:textId="77777777" w:rsidR="00430922" w:rsidRDefault="00000000">
            <w:pPr>
              <w:jc w:val="both"/>
              <w:rPr>
                <w:rFonts w:ascii="Times New Roman" w:hAnsi="Times New Roman"/>
                <w:sz w:val="26"/>
                <w:lang w:val="uk-UA"/>
              </w:rPr>
            </w:pPr>
            <w:r>
              <w:rPr>
                <w:rFonts w:ascii="Times New Roman" w:hAnsi="Times New Roman"/>
                <w:sz w:val="26"/>
                <w:lang w:val="uk-UA"/>
              </w:rPr>
              <w:t>Продовження воєнного стану.</w:t>
            </w:r>
          </w:p>
        </w:tc>
      </w:tr>
    </w:tbl>
    <w:p w14:paraId="3E4F4E49" w14:textId="77777777" w:rsidR="00430922" w:rsidRDefault="00430922">
      <w:pPr>
        <w:spacing w:after="0" w:line="240" w:lineRule="auto"/>
        <w:ind w:firstLine="720"/>
        <w:jc w:val="both"/>
        <w:rPr>
          <w:rFonts w:ascii="Times New Roman" w:hAnsi="Times New Roman"/>
          <w:sz w:val="26"/>
          <w:lang w:val="uk-UA"/>
        </w:rPr>
      </w:pPr>
    </w:p>
    <w:p w14:paraId="037B1593"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ru-RU"/>
        </w:rPr>
        <w:t xml:space="preserve">V. </w:t>
      </w:r>
      <w:r>
        <w:rPr>
          <w:rFonts w:ascii="Times New Roman" w:hAnsi="Times New Roman"/>
          <w:b/>
          <w:sz w:val="26"/>
          <w:lang w:val="uk-UA"/>
        </w:rPr>
        <w:t>Механізми та заходи, які забезпечать розв’язання визначеної проблеми</w:t>
      </w:r>
    </w:p>
    <w:p w14:paraId="23F74DB8" w14:textId="77777777" w:rsidR="00430922" w:rsidRDefault="00430922">
      <w:pPr>
        <w:spacing w:after="0" w:line="240" w:lineRule="auto"/>
        <w:ind w:firstLine="720"/>
        <w:jc w:val="center"/>
        <w:rPr>
          <w:rFonts w:ascii="Times New Roman" w:hAnsi="Times New Roman"/>
          <w:b/>
          <w:sz w:val="26"/>
          <w:lang w:val="ru-RU"/>
        </w:rPr>
      </w:pPr>
    </w:p>
    <w:p w14:paraId="616D50DA"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Порядок та умови проєкту постанови визначають організацію процесу та умови надання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w:t>
      </w:r>
    </w:p>
    <w:p w14:paraId="39C3A033"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Надання психологічної допомоги відбувається на трьох організаційних рівнях: </w:t>
      </w:r>
    </w:p>
    <w:p w14:paraId="20E598AD"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психосоціальна підтримка та супровід (перший рівень);</w:t>
      </w:r>
    </w:p>
    <w:p w14:paraId="231ED7A7"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психологічна реабілітація (другий рівень); </w:t>
      </w:r>
    </w:p>
    <w:p w14:paraId="7143DAFC"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комплексна медико-психологічна реабілітація (третій рівень).</w:t>
      </w:r>
    </w:p>
    <w:p w14:paraId="5334F406"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Рівень, на якому отримувачу послуг мають бути надані психологічні послуги, визначається за результатами психологічної діагностики з урахуванням соціальної ситуації отримувача послуг та стану його здоров’я, психічного стану.</w:t>
      </w:r>
    </w:p>
    <w:p w14:paraId="31827B66" w14:textId="77777777" w:rsidR="00430922" w:rsidRDefault="00000000">
      <w:pPr>
        <w:tabs>
          <w:tab w:val="left" w:pos="1092"/>
        </w:tabs>
        <w:spacing w:before="120" w:after="120" w:line="240" w:lineRule="auto"/>
        <w:ind w:firstLine="567"/>
        <w:jc w:val="both"/>
        <w:rPr>
          <w:rFonts w:ascii="Times New Roman" w:hAnsi="Times New Roman"/>
          <w:sz w:val="26"/>
          <w:lang w:val="uk-UA"/>
        </w:rPr>
      </w:pPr>
      <w:r>
        <w:rPr>
          <w:rFonts w:ascii="Times New Roman" w:hAnsi="Times New Roman"/>
          <w:sz w:val="26"/>
          <w:lang w:val="uk-UA"/>
        </w:rPr>
        <w:t>Психологічна допомога першого рівня надається надавачами соціальних послуг відповідно до Закону України “Про соціальні послуги”, які надаються отримувачам послуг безоплатно за рахунок бюджетних коштів. Також до надання психологічної допомоги першого рівня залучаються члени громадських об’єднань ветеранів та осіб з інвалідністю, фахівці із соціальної роботи, працівники закладів охорони здоров’я та закладів освіти, працівники органів військового обліку, зокрема центрів комплектування та соціальної підтримки, соціальних служб, інші громадські та благодійні організації відповідного напрямку діяльності, релігійні організації та церкви, які надають відповідні послуги за рахунок позабюджетного фінансування. Психологічна допомога першого рівня надається також службами охорони психічного здоров’я, інтегрованими в систему первинної медичної допомоги, а саме лікарями загальної практики в рамках програми медичних гарантій.</w:t>
      </w:r>
    </w:p>
    <w:p w14:paraId="75C4BD23"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lastRenderedPageBreak/>
        <w:t xml:space="preserve">Психологічна допомога другого і третього рівня надається суб’єктами надання послуг та фахівцями із надання послуг, інформація про яких внесена до Реєстру. </w:t>
      </w:r>
    </w:p>
    <w:p w14:paraId="1798D3B0"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Для включення до Реєстру юридична особа, фізична особа — підприємець (далі — заявник) подає Мінветеранів:</w:t>
      </w:r>
    </w:p>
    <w:p w14:paraId="5CFDD709"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1)</w:t>
      </w:r>
      <w:r>
        <w:rPr>
          <w:rFonts w:ascii="Times New Roman" w:hAnsi="Times New Roman"/>
          <w:sz w:val="26"/>
          <w:lang w:val="uk-UA"/>
        </w:rPr>
        <w:tab/>
        <w:t>заяву про включення до Реєстру за формою, встановленою Мінветеранів;</w:t>
      </w:r>
    </w:p>
    <w:p w14:paraId="112F54C8"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2)</w:t>
      </w:r>
      <w:r>
        <w:rPr>
          <w:rFonts w:ascii="Times New Roman" w:hAnsi="Times New Roman"/>
          <w:sz w:val="26"/>
          <w:lang w:val="uk-UA"/>
        </w:rPr>
        <w:tab/>
        <w:t>інформацію про найменування юридичної особи та її організаційно-правову форму або прізвище, власне ім’я, по батькові (за наявності) фізичної особи — підприємця, ідентифікаційний код згідно з ЄДРПОУ юридичної особи або реєстраційний номер облікової картки платника податків та інших обов’язкових платежів чи серія та номер паспорта громадянина України (для фізичної особи — підприємця,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 місцезнаходження (місце реєстрації) юридичної особи або зареєстроване місце проживання фізичної особи — підприємця; фактичну адресу надання послуг (зазначається у разі, коли фактична адреса відрізняється від місцезнаходження юридичної особи, зареєстрованого місця проживання  фізичної особи — підприємця); номери контактних телефонів; адресу електронної пошти; адресу веб-сайту або іншого інформаційного ресурсу (за наявності); банківські реквізити для перерахування бюджетних коштів);</w:t>
      </w:r>
    </w:p>
    <w:p w14:paraId="5FD42E55"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3)</w:t>
      </w:r>
      <w:r>
        <w:rPr>
          <w:rFonts w:ascii="Times New Roman" w:hAnsi="Times New Roman"/>
          <w:sz w:val="26"/>
          <w:lang w:val="uk-UA"/>
        </w:rPr>
        <w:tab/>
        <w:t>перелік психологічних послуг, що можуть надаватися отримувачу послуг;</w:t>
      </w:r>
    </w:p>
    <w:p w14:paraId="6A025D20"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4)</w:t>
      </w:r>
      <w:r>
        <w:rPr>
          <w:rFonts w:ascii="Times New Roman" w:hAnsi="Times New Roman"/>
          <w:sz w:val="26"/>
          <w:lang w:val="uk-UA"/>
        </w:rPr>
        <w:tab/>
        <w:t>інформацію та документи, що підтверджують відповідність кваліфікації фахівців заявника вимогам, а саме найменування посад та персональні дані фахівців (прізвище, власне ім’я, по батькові (за наявності), освіта/кваліфікація, стаж роботи за фахом, інформація про післядипломну освіту, атестацію, формальне та/або неформальне професійне навчання та супервізію протягом останніх двох років) (за згодою) та інформацію про включення відомостей про них до Реєстру;</w:t>
      </w:r>
    </w:p>
    <w:p w14:paraId="77BB8431"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5)</w:t>
      </w:r>
      <w:r>
        <w:rPr>
          <w:rFonts w:ascii="Times New Roman" w:hAnsi="Times New Roman"/>
          <w:sz w:val="26"/>
          <w:lang w:val="uk-UA"/>
        </w:rPr>
        <w:tab/>
        <w:t>інформацію про наявність кабінету (кабінетів) для надання індивідуальної/групової психологічної допомоги.</w:t>
      </w:r>
    </w:p>
    <w:p w14:paraId="6FCB3765"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Заявники, які мають намір надавати психологічну допомогу третього рівня, додатково надають інформацію про наявність: ліцензії на провадження господарської діяльності з медичної практики; окремого структурного підрозділу, який забезпечує здійснення мультидисциплінарними командами психологічної реабілітації.</w:t>
      </w:r>
    </w:p>
    <w:p w14:paraId="62191799"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Заяви з необхідними документами приймаються у разі надсилання їх засобами поштового зв’язку або за наявності технічної можливості в електронній формі (через офіційний веб-сайт Мінветеранів, інтегровані з ним інформаційні системи органів виконавчої влади та органів місцевого самоврядування або Єдиний державний </w:t>
      </w:r>
      <w:proofErr w:type="spellStart"/>
      <w:r>
        <w:rPr>
          <w:rFonts w:ascii="Times New Roman" w:hAnsi="Times New Roman"/>
          <w:sz w:val="26"/>
          <w:lang w:val="uk-UA"/>
        </w:rPr>
        <w:t>вебпортал</w:t>
      </w:r>
      <w:proofErr w:type="spellEnd"/>
      <w:r>
        <w:rPr>
          <w:rFonts w:ascii="Times New Roman" w:hAnsi="Times New Roman"/>
          <w:sz w:val="26"/>
          <w:lang w:val="uk-UA"/>
        </w:rPr>
        <w:t xml:space="preserve"> електронних послуг).</w:t>
      </w:r>
    </w:p>
    <w:p w14:paraId="77AB36CC"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Мінветеранів у строк, що не перевищує десяти календарних днів з дати надходження заяви разом з документами від заявника, розглядає їх та приймає рішення про включення або відмову у включенні заявника до Реєстру.</w:t>
      </w:r>
    </w:p>
    <w:p w14:paraId="7E6237BA"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lastRenderedPageBreak/>
        <w:t>Мінветеранів протягом трьох робочих днів після прийняття рішення про включення або відмову у включенні заявника до Реєстру інформує його про це, надіславши повідомлення на зазначену адресу електронної пошти заявника або його поштову адресу.</w:t>
      </w:r>
    </w:p>
    <w:p w14:paraId="1900D215"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Відомості про суб’єктів надання послуг, включених до Реєстру, оприлюднюються протягом трьох робочих днів на офіційному веб-сайті Мінветеранів, а також викладаються та оновлюються на Єдиному державному веб-порталі відкритих даних.</w:t>
      </w:r>
    </w:p>
    <w:p w14:paraId="4F883EAD" w14:textId="77777777" w:rsidR="00430922" w:rsidRDefault="00430922">
      <w:pPr>
        <w:spacing w:after="0" w:line="240" w:lineRule="auto"/>
        <w:ind w:firstLine="720"/>
        <w:jc w:val="both"/>
        <w:rPr>
          <w:rFonts w:ascii="Times New Roman" w:hAnsi="Times New Roman"/>
          <w:sz w:val="26"/>
          <w:lang w:val="uk-UA"/>
        </w:rPr>
      </w:pPr>
    </w:p>
    <w:p w14:paraId="38D964E4"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70043D7" w14:textId="77777777" w:rsidR="00430922" w:rsidRDefault="00430922">
      <w:pPr>
        <w:spacing w:after="0" w:line="240" w:lineRule="auto"/>
        <w:ind w:firstLine="720"/>
        <w:jc w:val="center"/>
        <w:rPr>
          <w:rFonts w:ascii="Times New Roman" w:hAnsi="Times New Roman"/>
          <w:b/>
          <w:sz w:val="26"/>
          <w:lang w:val="uk-UA"/>
        </w:rPr>
      </w:pPr>
    </w:p>
    <w:p w14:paraId="30374DBF"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Проєкт постанови стосується інтересів держави та суб’єктів господарювання. Негативних наслідків у зв’язку з прийняттям проєкту постанови не очікується. </w:t>
      </w:r>
    </w:p>
    <w:p w14:paraId="54AE6C88"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Для впровадження та виконання вимог регуляторного акта органам виконавчої влади не передбачається додаткового фінансування за рахунок коштів Державного бюджету України. </w:t>
      </w:r>
    </w:p>
    <w:p w14:paraId="42867692"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Фінансування витрат здійснюватиметься в межах бюджетної програми КПКВК 1501040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посвідчень та нагрудних знаків”. </w:t>
      </w:r>
    </w:p>
    <w:p w14:paraId="3B7F9EB9"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Питома вага суб’єктів середнього підприємництва у загальній кількості суб’єктів господарювання, на яких поширюється регулювання, становить 100 відсотків. Розрахунок витрат на запровадження державного регулювання для суб’єктів середнього підприємництва здійснено згідно з додатком 2 до Методики проведення аналізу впливу регуляторного акта, затвердженого постановою Кабінету Міністрів України від 11 березня 2004 р. № 308. </w:t>
      </w:r>
    </w:p>
    <w:p w14:paraId="29F8F753"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Витрати для одного суб’єкта господарювання середнього підприємництва, які виникають внаслідок дії регуляторного акта, наведені у додатку 1 до аналізу впливу регуляторного акта. </w:t>
      </w:r>
    </w:p>
    <w:p w14:paraId="4F34F601" w14:textId="77777777" w:rsidR="00430922" w:rsidRDefault="00000000">
      <w:pPr>
        <w:spacing w:after="0" w:line="240" w:lineRule="auto"/>
        <w:ind w:firstLine="720"/>
        <w:jc w:val="both"/>
        <w:rPr>
          <w:rFonts w:ascii="Times New Roman" w:hAnsi="Times New Roman"/>
          <w:sz w:val="26"/>
          <w:lang w:val="ru-RU"/>
        </w:rPr>
      </w:pPr>
      <w:r>
        <w:rPr>
          <w:rFonts w:ascii="Times New Roman" w:hAnsi="Times New Roman"/>
          <w:sz w:val="26"/>
          <w:lang w:val="uk-UA"/>
        </w:rPr>
        <w:t>Витрати суб’єктів малого підприємництва не передбачаються, тому розрахунки витрат згідно з додатком 4 до Методики проведення аналізу впливу регуляторного акта не проводились</w:t>
      </w:r>
      <w:r>
        <w:rPr>
          <w:rFonts w:ascii="Times New Roman" w:hAnsi="Times New Roman"/>
          <w:sz w:val="26"/>
          <w:lang w:val="ru-RU"/>
        </w:rPr>
        <w:t>.</w:t>
      </w:r>
    </w:p>
    <w:p w14:paraId="3DCE6FD0" w14:textId="77777777" w:rsidR="00430922" w:rsidRDefault="00430922">
      <w:pPr>
        <w:spacing w:after="0" w:line="240" w:lineRule="auto"/>
        <w:ind w:firstLine="720"/>
        <w:jc w:val="both"/>
        <w:rPr>
          <w:rFonts w:ascii="Times New Roman" w:hAnsi="Times New Roman"/>
          <w:sz w:val="26"/>
          <w:lang w:val="uk-UA"/>
        </w:rPr>
      </w:pPr>
    </w:p>
    <w:p w14:paraId="33A4442C"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VІI. Обґрунтування запропонованого строку дії регуляторного акта</w:t>
      </w:r>
    </w:p>
    <w:p w14:paraId="3FD81C02" w14:textId="77777777" w:rsidR="00430922" w:rsidRDefault="00430922">
      <w:pPr>
        <w:spacing w:after="0" w:line="240" w:lineRule="auto"/>
        <w:ind w:firstLine="720"/>
        <w:jc w:val="center"/>
        <w:rPr>
          <w:rFonts w:ascii="Times New Roman" w:hAnsi="Times New Roman"/>
          <w:b/>
          <w:sz w:val="26"/>
          <w:lang w:val="uk-UA"/>
        </w:rPr>
      </w:pPr>
    </w:p>
    <w:p w14:paraId="60B75244"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Строк дії проєкту постанови встановлюється на необмежений термін.</w:t>
      </w:r>
    </w:p>
    <w:p w14:paraId="73DBD6DD"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lastRenderedPageBreak/>
        <w:t>Зміна строку дії регуляторного акта можлива в разі зміни законодавчих актів України вищої юридичної сили, на виконання яких розроблено цей проєкт регуляторного акта.</w:t>
      </w:r>
    </w:p>
    <w:p w14:paraId="53CEC628"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Проєкт регуляторного акта набирає чинності з 01 січня 2023 року.</w:t>
      </w:r>
    </w:p>
    <w:p w14:paraId="3E94DFB2" w14:textId="77777777" w:rsidR="00430922" w:rsidRDefault="00430922">
      <w:pPr>
        <w:spacing w:after="0" w:line="240" w:lineRule="auto"/>
        <w:ind w:firstLine="720"/>
        <w:jc w:val="both"/>
        <w:rPr>
          <w:rFonts w:ascii="Times New Roman" w:hAnsi="Times New Roman"/>
          <w:sz w:val="26"/>
          <w:lang w:val="uk-UA"/>
        </w:rPr>
      </w:pPr>
    </w:p>
    <w:p w14:paraId="70569078"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VІII. Визначення показників результативності дії регуляторного акта</w:t>
      </w:r>
    </w:p>
    <w:p w14:paraId="43F13F82" w14:textId="77777777" w:rsidR="00430922" w:rsidRDefault="00430922">
      <w:pPr>
        <w:spacing w:after="0" w:line="240" w:lineRule="auto"/>
        <w:ind w:firstLine="720"/>
        <w:jc w:val="center"/>
        <w:rPr>
          <w:rFonts w:ascii="Times New Roman" w:hAnsi="Times New Roman"/>
          <w:b/>
          <w:sz w:val="26"/>
          <w:lang w:val="uk-UA"/>
        </w:rPr>
      </w:pPr>
    </w:p>
    <w:p w14:paraId="6538AF3B" w14:textId="405B1114" w:rsidR="006F2BBC" w:rsidRDefault="00707E09" w:rsidP="006F2BBC">
      <w:pPr>
        <w:spacing w:after="0" w:line="240" w:lineRule="auto"/>
        <w:ind w:firstLine="720"/>
        <w:jc w:val="both"/>
        <w:rPr>
          <w:rFonts w:ascii="Times New Roman" w:hAnsi="Times New Roman"/>
          <w:sz w:val="26"/>
          <w:lang w:val="uk-UA"/>
        </w:rPr>
      </w:pPr>
      <w:r>
        <w:rPr>
          <w:rFonts w:ascii="Times New Roman" w:hAnsi="Times New Roman"/>
          <w:sz w:val="26"/>
          <w:lang w:val="uk-UA"/>
        </w:rPr>
        <w:t>Прогнозні значення показників результативності регуляторного акта встановлюються через 18 місяців з моменту ухвалення про</w:t>
      </w:r>
      <w:r w:rsidR="00735CCD">
        <w:rPr>
          <w:rFonts w:ascii="Times New Roman" w:hAnsi="Times New Roman"/>
          <w:sz w:val="26"/>
          <w:lang w:val="uk-UA"/>
        </w:rPr>
        <w:t>є</w:t>
      </w:r>
      <w:r>
        <w:rPr>
          <w:rFonts w:ascii="Times New Roman" w:hAnsi="Times New Roman"/>
          <w:sz w:val="26"/>
          <w:lang w:val="uk-UA"/>
        </w:rPr>
        <w:t>кту постанови.</w:t>
      </w:r>
    </w:p>
    <w:p w14:paraId="75399522" w14:textId="462A10F5" w:rsidR="00707E09" w:rsidRPr="006F2BBC" w:rsidRDefault="00707E09" w:rsidP="006F2BBC">
      <w:pPr>
        <w:spacing w:after="0" w:line="240" w:lineRule="auto"/>
        <w:ind w:firstLine="720"/>
        <w:jc w:val="both"/>
        <w:rPr>
          <w:rFonts w:ascii="Times New Roman" w:hAnsi="Times New Roman"/>
          <w:sz w:val="26"/>
          <w:lang w:val="uk-UA"/>
        </w:rPr>
      </w:pPr>
      <w:r>
        <w:rPr>
          <w:rFonts w:ascii="Times New Roman" w:hAnsi="Times New Roman"/>
          <w:sz w:val="26"/>
          <w:lang w:val="uk-UA"/>
        </w:rPr>
        <w:t>Основні показники результативності акта:</w:t>
      </w:r>
    </w:p>
    <w:p w14:paraId="12796EFC" w14:textId="621AD8BC" w:rsidR="006F2BBC" w:rsidRPr="006F2BBC" w:rsidRDefault="006F2BBC" w:rsidP="006F2BBC">
      <w:pPr>
        <w:spacing w:after="0" w:line="240" w:lineRule="auto"/>
        <w:ind w:firstLine="720"/>
        <w:jc w:val="both"/>
        <w:rPr>
          <w:rFonts w:ascii="Times New Roman" w:hAnsi="Times New Roman"/>
          <w:sz w:val="26"/>
          <w:lang w:val="uk-UA"/>
        </w:rPr>
      </w:pPr>
      <w:r w:rsidRPr="006F2BBC">
        <w:rPr>
          <w:rFonts w:ascii="Times New Roman" w:hAnsi="Times New Roman"/>
          <w:sz w:val="26"/>
          <w:lang w:val="uk-UA"/>
        </w:rPr>
        <w:t>розмір надходжень до державного та місцевих бюджетів і державних цільових фондів, пов'язаних з дією акта</w:t>
      </w:r>
      <w:r>
        <w:rPr>
          <w:rFonts w:ascii="Times New Roman" w:hAnsi="Times New Roman"/>
          <w:sz w:val="26"/>
          <w:lang w:val="uk-UA"/>
        </w:rPr>
        <w:t>;</w:t>
      </w:r>
    </w:p>
    <w:p w14:paraId="379C82AF" w14:textId="77777777" w:rsidR="006F2BBC" w:rsidRPr="006F2BBC" w:rsidRDefault="006F2BBC" w:rsidP="006F2BBC">
      <w:pPr>
        <w:spacing w:after="0" w:line="240" w:lineRule="auto"/>
        <w:ind w:firstLine="720"/>
        <w:jc w:val="both"/>
        <w:rPr>
          <w:rFonts w:ascii="Times New Roman" w:hAnsi="Times New Roman"/>
          <w:sz w:val="26"/>
          <w:lang w:val="uk-UA"/>
        </w:rPr>
      </w:pPr>
      <w:r w:rsidRPr="006F2BBC">
        <w:rPr>
          <w:rFonts w:ascii="Times New Roman" w:hAnsi="Times New Roman"/>
          <w:sz w:val="26"/>
          <w:lang w:val="uk-UA"/>
        </w:rPr>
        <w:t>кількість суб'єктів господарювання та/або фізичних осіб, на яких поширюватиметься дія акта;</w:t>
      </w:r>
    </w:p>
    <w:p w14:paraId="76E8E51A" w14:textId="77777777" w:rsidR="006F2BBC" w:rsidRPr="006F2BBC" w:rsidRDefault="006F2BBC" w:rsidP="006F2BBC">
      <w:pPr>
        <w:spacing w:after="0" w:line="240" w:lineRule="auto"/>
        <w:ind w:firstLine="720"/>
        <w:jc w:val="both"/>
        <w:rPr>
          <w:rFonts w:ascii="Times New Roman" w:hAnsi="Times New Roman"/>
          <w:sz w:val="26"/>
          <w:lang w:val="uk-UA"/>
        </w:rPr>
      </w:pPr>
      <w:r w:rsidRPr="006F2BBC">
        <w:rPr>
          <w:rFonts w:ascii="Times New Roman" w:hAnsi="Times New Roman"/>
          <w:sz w:val="26"/>
          <w:lang w:val="uk-UA"/>
        </w:rPr>
        <w:t>розмір коштів і час, що витрачатимуться суб'єктами господарювання та/або фізичними особами, пов'язаними з виконанням вимог акта;</w:t>
      </w:r>
    </w:p>
    <w:p w14:paraId="4273D884" w14:textId="3DF87059" w:rsidR="006F2BBC" w:rsidRDefault="006F2BBC" w:rsidP="006F2BBC">
      <w:pPr>
        <w:spacing w:after="0" w:line="240" w:lineRule="auto"/>
        <w:ind w:firstLine="720"/>
        <w:jc w:val="both"/>
        <w:rPr>
          <w:rFonts w:ascii="Times New Roman" w:hAnsi="Times New Roman"/>
          <w:sz w:val="26"/>
          <w:lang w:val="uk-UA"/>
        </w:rPr>
      </w:pPr>
      <w:r w:rsidRPr="006F2BBC">
        <w:rPr>
          <w:rFonts w:ascii="Times New Roman" w:hAnsi="Times New Roman"/>
          <w:sz w:val="26"/>
          <w:lang w:val="uk-UA"/>
        </w:rPr>
        <w:t>рівень поінформованості суб'єктів господарювання та/або фізичних осіб з основних положень акта.</w:t>
      </w:r>
    </w:p>
    <w:p w14:paraId="7EFAD348" w14:textId="245B2CD0" w:rsidR="000E4FFD" w:rsidRDefault="000E4FFD" w:rsidP="006F2BBC">
      <w:pPr>
        <w:spacing w:after="0" w:line="240" w:lineRule="auto"/>
        <w:ind w:firstLine="720"/>
        <w:jc w:val="both"/>
        <w:rPr>
          <w:rFonts w:ascii="Times New Roman" w:hAnsi="Times New Roman"/>
          <w:sz w:val="26"/>
          <w:lang w:val="uk-UA"/>
        </w:rPr>
      </w:pPr>
      <w:r>
        <w:rPr>
          <w:rFonts w:ascii="Times New Roman" w:hAnsi="Times New Roman"/>
          <w:sz w:val="26"/>
          <w:lang w:val="uk-UA"/>
        </w:rPr>
        <w:t>Додаткові показники результативності регуляторного акта:</w:t>
      </w:r>
    </w:p>
    <w:p w14:paraId="30ECA979" w14:textId="0054B7BE" w:rsidR="000E4FFD" w:rsidRPr="00235EDF" w:rsidRDefault="000E4FFD" w:rsidP="000E4FFD">
      <w:pPr>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к</w:t>
      </w:r>
      <w:r w:rsidRPr="00235EDF">
        <w:rPr>
          <w:rFonts w:ascii="Times New Roman" w:hAnsi="Times New Roman"/>
          <w:sz w:val="26"/>
          <w:szCs w:val="26"/>
          <w:lang w:val="uk-UA"/>
        </w:rPr>
        <w:t>ількість суб’єктів надання послуг, включених до Реєстру постачальників послуг із психологічної реабілітації для ветеранів і членів їх сімей;</w:t>
      </w:r>
    </w:p>
    <w:p w14:paraId="022E4B5F" w14:textId="6AC03C3E" w:rsidR="000E4FFD" w:rsidRPr="00235EDF" w:rsidRDefault="000E4FFD" w:rsidP="000E4FFD">
      <w:pPr>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к</w:t>
      </w:r>
      <w:r w:rsidRPr="00235EDF">
        <w:rPr>
          <w:rFonts w:ascii="Times New Roman" w:hAnsi="Times New Roman"/>
          <w:sz w:val="26"/>
          <w:szCs w:val="26"/>
          <w:lang w:val="uk-UA"/>
        </w:rPr>
        <w:t>ількість отримувачів послуг психологічної допомоги за рахунок бюджетних коштів;</w:t>
      </w:r>
    </w:p>
    <w:p w14:paraId="450E28C5" w14:textId="3FD80D81" w:rsidR="000E4FFD" w:rsidRPr="00235EDF" w:rsidRDefault="000E4FFD" w:rsidP="000E4FFD">
      <w:pPr>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к</w:t>
      </w:r>
      <w:r w:rsidRPr="00235EDF">
        <w:rPr>
          <w:rFonts w:ascii="Times New Roman" w:hAnsi="Times New Roman"/>
          <w:sz w:val="26"/>
          <w:szCs w:val="26"/>
          <w:lang w:val="uk-UA"/>
        </w:rPr>
        <w:t>ількість фахівців із надання послуг психологічної допомоги за рахунок бюджетних коштів.</w:t>
      </w:r>
    </w:p>
    <w:p w14:paraId="3C1058D2" w14:textId="77777777" w:rsidR="00430922" w:rsidRDefault="00430922">
      <w:pPr>
        <w:spacing w:after="0" w:line="240" w:lineRule="auto"/>
        <w:ind w:firstLine="720"/>
        <w:jc w:val="both"/>
        <w:rPr>
          <w:rFonts w:ascii="Times New Roman" w:hAnsi="Times New Roman"/>
          <w:sz w:val="26"/>
          <w:lang w:val="uk-UA"/>
        </w:rPr>
      </w:pPr>
    </w:p>
    <w:p w14:paraId="5A2C31DA"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ІX. Визначення заходів, за допомогою яких здійснюватиметься відстеження результативності регуляторного акта</w:t>
      </w:r>
    </w:p>
    <w:p w14:paraId="6C814F8F" w14:textId="77777777" w:rsidR="00430922" w:rsidRDefault="00430922">
      <w:pPr>
        <w:spacing w:after="0" w:line="240" w:lineRule="auto"/>
        <w:ind w:firstLine="720"/>
        <w:jc w:val="center"/>
        <w:rPr>
          <w:rFonts w:ascii="Times New Roman" w:hAnsi="Times New Roman"/>
          <w:b/>
          <w:sz w:val="26"/>
          <w:lang w:val="uk-UA"/>
        </w:rPr>
      </w:pPr>
    </w:p>
    <w:p w14:paraId="37D61936"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Щодо проєкту постанови буде послідовно здійснюватися базове, повторне та періодичне відстеження результативності. </w:t>
      </w:r>
    </w:p>
    <w:p w14:paraId="2B91F4A0"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Базове відстеження результативності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 </w:t>
      </w:r>
    </w:p>
    <w:p w14:paraId="196266F5"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Повторне відстеження результативності – через рік з дня набрання ним чинності, але не пізніше двох років з дня набрання чинності цим актом.</w:t>
      </w:r>
    </w:p>
    <w:p w14:paraId="6F148DC2"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14:paraId="028F33A2"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У разі виявлення неврегульованих та проблемних моментів шляхом проведення аналізу показників дії цього акта, ці моменти буде виправлено внесенням відповідних змін. </w:t>
      </w:r>
    </w:p>
    <w:p w14:paraId="4ABC6D8C"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Метод проведення відстеження результативності – статистичний. </w:t>
      </w:r>
    </w:p>
    <w:p w14:paraId="39C36755"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 xml:space="preserve">Вид даних, за допомогою яких здійснюватиметься відстеження результативності – статистичний. </w:t>
      </w:r>
    </w:p>
    <w:p w14:paraId="185FFFB3"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lastRenderedPageBreak/>
        <w:t>Відповідні відстеження будуть проводитись шляхом аналізу статистичних даних, виконавцем яких є Міністерство у справах ветеранів України.</w:t>
      </w:r>
    </w:p>
    <w:p w14:paraId="35E12502" w14:textId="77777777" w:rsidR="00430922" w:rsidRDefault="00000000">
      <w:pPr>
        <w:rPr>
          <w:rFonts w:ascii="Times New Roman" w:hAnsi="Times New Roman"/>
          <w:sz w:val="26"/>
          <w:lang w:val="uk-UA"/>
        </w:rPr>
      </w:pPr>
      <w:r>
        <w:rPr>
          <w:rFonts w:ascii="Times New Roman" w:hAnsi="Times New Roman"/>
          <w:sz w:val="26"/>
          <w:lang w:val="uk-UA"/>
        </w:rPr>
        <w:br w:type="page"/>
      </w:r>
    </w:p>
    <w:p w14:paraId="1955934C"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lastRenderedPageBreak/>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r>
      <w:r>
        <w:rPr>
          <w:rFonts w:ascii="Times New Roman" w:hAnsi="Times New Roman"/>
          <w:sz w:val="26"/>
          <w:lang w:val="uk-UA"/>
        </w:rPr>
        <w:tab/>
        <w:t>Додаток 1</w:t>
      </w:r>
    </w:p>
    <w:p w14:paraId="03008EB9" w14:textId="77777777" w:rsidR="00430922" w:rsidRDefault="00430922">
      <w:pPr>
        <w:spacing w:after="0" w:line="240" w:lineRule="auto"/>
        <w:ind w:firstLine="720"/>
        <w:jc w:val="both"/>
        <w:rPr>
          <w:rFonts w:ascii="Times New Roman" w:hAnsi="Times New Roman"/>
          <w:sz w:val="26"/>
          <w:lang w:val="uk-UA"/>
        </w:rPr>
      </w:pPr>
    </w:p>
    <w:p w14:paraId="477006F4"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 xml:space="preserve">ВИТРАТИ </w:t>
      </w:r>
    </w:p>
    <w:p w14:paraId="2FC79DE1"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на одного суб’єкта господарювання середнього підприємництва, які виникають внаслідок дії регуляторного акта</w:t>
      </w:r>
    </w:p>
    <w:p w14:paraId="1800860D" w14:textId="77777777" w:rsidR="00430922" w:rsidRDefault="00430922">
      <w:pPr>
        <w:spacing w:after="0" w:line="240" w:lineRule="auto"/>
        <w:ind w:firstLine="720"/>
        <w:jc w:val="center"/>
        <w:rPr>
          <w:rFonts w:ascii="Times New Roman" w:hAnsi="Times New Roman"/>
          <w:b/>
          <w:sz w:val="26"/>
          <w:lang w:val="uk-UA"/>
        </w:rPr>
      </w:pPr>
    </w:p>
    <w:tbl>
      <w:tblPr>
        <w:tblStyle w:val="a6"/>
        <w:tblW w:w="0" w:type="auto"/>
        <w:tblLook w:val="04A0" w:firstRow="1" w:lastRow="0" w:firstColumn="1" w:lastColumn="0" w:noHBand="0" w:noVBand="1"/>
      </w:tblPr>
      <w:tblGrid>
        <w:gridCol w:w="516"/>
        <w:gridCol w:w="5693"/>
        <w:gridCol w:w="1572"/>
        <w:gridCol w:w="1569"/>
      </w:tblGrid>
      <w:tr w:rsidR="00430922" w14:paraId="2E9423A8" w14:textId="77777777">
        <w:tc>
          <w:tcPr>
            <w:tcW w:w="0" w:type="auto"/>
          </w:tcPr>
          <w:p w14:paraId="672354DF"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517BD909" w14:textId="77777777" w:rsidR="00430922" w:rsidRDefault="00000000">
            <w:pPr>
              <w:jc w:val="center"/>
              <w:rPr>
                <w:rFonts w:ascii="Times New Roman" w:hAnsi="Times New Roman"/>
                <w:b/>
                <w:sz w:val="24"/>
                <w:lang w:val="uk-UA"/>
              </w:rPr>
            </w:pPr>
            <w:r>
              <w:rPr>
                <w:rFonts w:ascii="Times New Roman" w:hAnsi="Times New Roman"/>
                <w:sz w:val="24"/>
                <w:lang w:val="uk-UA"/>
              </w:rPr>
              <w:t>Витрати</w:t>
            </w:r>
          </w:p>
        </w:tc>
        <w:tc>
          <w:tcPr>
            <w:tcW w:w="0" w:type="auto"/>
          </w:tcPr>
          <w:p w14:paraId="174208F0" w14:textId="77777777" w:rsidR="00430922" w:rsidRDefault="00000000">
            <w:pPr>
              <w:jc w:val="center"/>
              <w:rPr>
                <w:rFonts w:ascii="Times New Roman" w:hAnsi="Times New Roman"/>
                <w:b/>
                <w:sz w:val="24"/>
                <w:lang w:val="uk-UA"/>
              </w:rPr>
            </w:pPr>
            <w:r>
              <w:rPr>
                <w:rFonts w:ascii="Times New Roman" w:hAnsi="Times New Roman"/>
                <w:sz w:val="24"/>
                <w:lang w:val="uk-UA"/>
              </w:rPr>
              <w:t>За перший рік, грн</w:t>
            </w:r>
          </w:p>
        </w:tc>
        <w:tc>
          <w:tcPr>
            <w:tcW w:w="0" w:type="auto"/>
          </w:tcPr>
          <w:p w14:paraId="5B5D8A6B" w14:textId="77777777" w:rsidR="00430922" w:rsidRDefault="00000000">
            <w:pPr>
              <w:jc w:val="center"/>
              <w:rPr>
                <w:rFonts w:ascii="Times New Roman" w:hAnsi="Times New Roman"/>
                <w:b/>
                <w:sz w:val="24"/>
                <w:lang w:val="uk-UA"/>
              </w:rPr>
            </w:pPr>
            <w:r>
              <w:rPr>
                <w:rFonts w:ascii="Times New Roman" w:hAnsi="Times New Roman"/>
                <w:sz w:val="24"/>
                <w:lang w:val="uk-UA"/>
              </w:rPr>
              <w:t>За п’ять років, грн</w:t>
            </w:r>
          </w:p>
        </w:tc>
      </w:tr>
      <w:tr w:rsidR="00430922" w14:paraId="6687E9DB" w14:textId="77777777">
        <w:tc>
          <w:tcPr>
            <w:tcW w:w="0" w:type="auto"/>
          </w:tcPr>
          <w:p w14:paraId="0428B662" w14:textId="77777777" w:rsidR="00430922" w:rsidRDefault="00000000">
            <w:pPr>
              <w:jc w:val="center"/>
              <w:rPr>
                <w:rFonts w:ascii="Times New Roman" w:hAnsi="Times New Roman"/>
                <w:sz w:val="24"/>
                <w:lang w:val="uk-UA"/>
              </w:rPr>
            </w:pPr>
            <w:r>
              <w:rPr>
                <w:rFonts w:ascii="Times New Roman" w:hAnsi="Times New Roman"/>
                <w:sz w:val="24"/>
                <w:lang w:val="uk-UA"/>
              </w:rPr>
              <w:t>1.</w:t>
            </w:r>
          </w:p>
        </w:tc>
        <w:tc>
          <w:tcPr>
            <w:tcW w:w="0" w:type="auto"/>
          </w:tcPr>
          <w:p w14:paraId="28E9729E" w14:textId="77777777" w:rsidR="00430922" w:rsidRDefault="00000000">
            <w:pPr>
              <w:jc w:val="center"/>
              <w:rPr>
                <w:rFonts w:ascii="Times New Roman" w:hAnsi="Times New Roman"/>
                <w:sz w:val="24"/>
                <w:lang w:val="uk-UA"/>
              </w:rPr>
            </w:pPr>
            <w:r>
              <w:rPr>
                <w:rFonts w:ascii="Times New Roman" w:hAnsi="Times New Roman"/>
                <w:sz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0" w:type="auto"/>
          </w:tcPr>
          <w:p w14:paraId="1EDEE6E6"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c>
          <w:tcPr>
            <w:tcW w:w="0" w:type="auto"/>
          </w:tcPr>
          <w:p w14:paraId="684CD4AD"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r>
      <w:tr w:rsidR="00430922" w14:paraId="1BB89306" w14:textId="77777777">
        <w:tc>
          <w:tcPr>
            <w:tcW w:w="0" w:type="auto"/>
          </w:tcPr>
          <w:p w14:paraId="07235DD0" w14:textId="77777777" w:rsidR="00430922" w:rsidRDefault="00000000">
            <w:pPr>
              <w:jc w:val="center"/>
              <w:rPr>
                <w:rFonts w:ascii="Times New Roman" w:hAnsi="Times New Roman"/>
                <w:sz w:val="24"/>
                <w:lang w:val="uk-UA"/>
              </w:rPr>
            </w:pPr>
            <w:r>
              <w:rPr>
                <w:rFonts w:ascii="Times New Roman" w:hAnsi="Times New Roman"/>
                <w:sz w:val="24"/>
                <w:lang w:val="uk-UA"/>
              </w:rPr>
              <w:t>2.</w:t>
            </w:r>
          </w:p>
        </w:tc>
        <w:tc>
          <w:tcPr>
            <w:tcW w:w="0" w:type="auto"/>
          </w:tcPr>
          <w:p w14:paraId="72D2B393" w14:textId="77777777" w:rsidR="00430922" w:rsidRDefault="00000000">
            <w:pPr>
              <w:jc w:val="center"/>
              <w:rPr>
                <w:rFonts w:ascii="Times New Roman" w:hAnsi="Times New Roman"/>
                <w:sz w:val="24"/>
                <w:lang w:val="uk-UA"/>
              </w:rPr>
            </w:pPr>
            <w:r>
              <w:rPr>
                <w:rFonts w:ascii="Times New Roman" w:hAnsi="Times New Roman"/>
                <w:sz w:val="24"/>
                <w:lang w:val="uk-UA"/>
              </w:rPr>
              <w:t>Податки та збори (зміна розміру податків/зборів, виникнення необхідності у сплаті податків/зборів), гривень</w:t>
            </w:r>
          </w:p>
        </w:tc>
        <w:tc>
          <w:tcPr>
            <w:tcW w:w="0" w:type="auto"/>
          </w:tcPr>
          <w:p w14:paraId="18400564"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c>
          <w:tcPr>
            <w:tcW w:w="0" w:type="auto"/>
          </w:tcPr>
          <w:p w14:paraId="6B1B91E3"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r>
      <w:tr w:rsidR="00430922" w14:paraId="38ECCE51" w14:textId="77777777">
        <w:tc>
          <w:tcPr>
            <w:tcW w:w="0" w:type="auto"/>
          </w:tcPr>
          <w:p w14:paraId="12ED13D7" w14:textId="77777777" w:rsidR="00430922" w:rsidRDefault="00000000">
            <w:pPr>
              <w:jc w:val="center"/>
              <w:rPr>
                <w:rFonts w:ascii="Times New Roman" w:hAnsi="Times New Roman"/>
                <w:sz w:val="24"/>
                <w:lang w:val="uk-UA"/>
              </w:rPr>
            </w:pPr>
            <w:r>
              <w:rPr>
                <w:rFonts w:ascii="Times New Roman" w:hAnsi="Times New Roman"/>
                <w:sz w:val="24"/>
                <w:lang w:val="uk-UA"/>
              </w:rPr>
              <w:t>3.</w:t>
            </w:r>
          </w:p>
        </w:tc>
        <w:tc>
          <w:tcPr>
            <w:tcW w:w="0" w:type="auto"/>
          </w:tcPr>
          <w:p w14:paraId="2C1EDD99" w14:textId="77777777" w:rsidR="00430922" w:rsidRDefault="00000000">
            <w:pPr>
              <w:jc w:val="center"/>
              <w:rPr>
                <w:rFonts w:ascii="Times New Roman" w:hAnsi="Times New Roman"/>
                <w:sz w:val="24"/>
                <w:lang w:val="uk-UA"/>
              </w:rPr>
            </w:pPr>
            <w:r>
              <w:rPr>
                <w:rFonts w:ascii="Times New Roman" w:hAnsi="Times New Roman"/>
                <w:sz w:val="24"/>
                <w:lang w:val="uk-UA"/>
              </w:rPr>
              <w:t>Витрати, пов’язані із веденням обліку, підготовкою та поданням звітності державним органам, гривень</w:t>
            </w:r>
          </w:p>
        </w:tc>
        <w:tc>
          <w:tcPr>
            <w:tcW w:w="0" w:type="auto"/>
          </w:tcPr>
          <w:p w14:paraId="3727FCCA"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c>
          <w:tcPr>
            <w:tcW w:w="0" w:type="auto"/>
          </w:tcPr>
          <w:p w14:paraId="1419B2CB"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r>
      <w:tr w:rsidR="00430922" w14:paraId="5B864A4D" w14:textId="77777777">
        <w:tc>
          <w:tcPr>
            <w:tcW w:w="0" w:type="auto"/>
          </w:tcPr>
          <w:p w14:paraId="6FB3D895" w14:textId="77777777" w:rsidR="00430922" w:rsidRDefault="00000000">
            <w:pPr>
              <w:jc w:val="center"/>
              <w:rPr>
                <w:rFonts w:ascii="Times New Roman" w:hAnsi="Times New Roman"/>
                <w:sz w:val="24"/>
                <w:lang w:val="uk-UA"/>
              </w:rPr>
            </w:pPr>
            <w:r>
              <w:rPr>
                <w:rFonts w:ascii="Times New Roman" w:hAnsi="Times New Roman"/>
                <w:sz w:val="24"/>
                <w:lang w:val="uk-UA"/>
              </w:rPr>
              <w:t>4.</w:t>
            </w:r>
          </w:p>
        </w:tc>
        <w:tc>
          <w:tcPr>
            <w:tcW w:w="0" w:type="auto"/>
          </w:tcPr>
          <w:p w14:paraId="6188C031" w14:textId="77777777" w:rsidR="00430922" w:rsidRDefault="00000000">
            <w:pPr>
              <w:jc w:val="center"/>
              <w:rPr>
                <w:rFonts w:ascii="Times New Roman" w:hAnsi="Times New Roman"/>
                <w:sz w:val="24"/>
                <w:lang w:val="uk-UA"/>
              </w:rPr>
            </w:pPr>
            <w:r>
              <w:rPr>
                <w:rFonts w:ascii="Times New Roman" w:hAnsi="Times New Roman"/>
                <w:sz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0" w:type="auto"/>
          </w:tcPr>
          <w:p w14:paraId="5641FF93"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c>
          <w:tcPr>
            <w:tcW w:w="0" w:type="auto"/>
          </w:tcPr>
          <w:p w14:paraId="3CF69A32"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r>
      <w:tr w:rsidR="00430922" w14:paraId="664E3F8E" w14:textId="77777777">
        <w:tc>
          <w:tcPr>
            <w:tcW w:w="0" w:type="auto"/>
          </w:tcPr>
          <w:p w14:paraId="49DD5984" w14:textId="77777777" w:rsidR="00430922" w:rsidRDefault="00000000">
            <w:pPr>
              <w:jc w:val="center"/>
              <w:rPr>
                <w:rFonts w:ascii="Times New Roman" w:hAnsi="Times New Roman"/>
                <w:sz w:val="24"/>
                <w:lang w:val="uk-UA"/>
              </w:rPr>
            </w:pPr>
            <w:r>
              <w:rPr>
                <w:rFonts w:ascii="Times New Roman" w:hAnsi="Times New Roman"/>
                <w:sz w:val="24"/>
                <w:lang w:val="uk-UA"/>
              </w:rPr>
              <w:t>5.</w:t>
            </w:r>
          </w:p>
        </w:tc>
        <w:tc>
          <w:tcPr>
            <w:tcW w:w="0" w:type="auto"/>
          </w:tcPr>
          <w:p w14:paraId="4BC00C39" w14:textId="77777777" w:rsidR="00430922" w:rsidRDefault="00000000">
            <w:pPr>
              <w:jc w:val="center"/>
              <w:rPr>
                <w:rFonts w:ascii="Times New Roman" w:hAnsi="Times New Roman"/>
                <w:sz w:val="24"/>
                <w:lang w:val="uk-UA"/>
              </w:rPr>
            </w:pPr>
            <w:r>
              <w:rPr>
                <w:rFonts w:ascii="Times New Roman" w:hAnsi="Times New Roman"/>
                <w:sz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0" w:type="auto"/>
          </w:tcPr>
          <w:p w14:paraId="21A1B66F"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c>
          <w:tcPr>
            <w:tcW w:w="0" w:type="auto"/>
          </w:tcPr>
          <w:p w14:paraId="53E07DFD"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r>
      <w:tr w:rsidR="00430922" w14:paraId="235BFC46" w14:textId="77777777">
        <w:tc>
          <w:tcPr>
            <w:tcW w:w="0" w:type="auto"/>
          </w:tcPr>
          <w:p w14:paraId="62E912F6" w14:textId="77777777" w:rsidR="00430922" w:rsidRDefault="00000000">
            <w:pPr>
              <w:jc w:val="center"/>
              <w:rPr>
                <w:rFonts w:ascii="Times New Roman" w:hAnsi="Times New Roman"/>
                <w:sz w:val="24"/>
                <w:lang w:val="uk-UA"/>
              </w:rPr>
            </w:pPr>
            <w:r>
              <w:rPr>
                <w:rFonts w:ascii="Times New Roman" w:hAnsi="Times New Roman"/>
                <w:sz w:val="24"/>
                <w:lang w:val="uk-UA"/>
              </w:rPr>
              <w:t>6.</w:t>
            </w:r>
          </w:p>
        </w:tc>
        <w:tc>
          <w:tcPr>
            <w:tcW w:w="0" w:type="auto"/>
          </w:tcPr>
          <w:p w14:paraId="2289422F" w14:textId="77777777" w:rsidR="00430922" w:rsidRDefault="00000000">
            <w:pPr>
              <w:jc w:val="center"/>
              <w:rPr>
                <w:rFonts w:ascii="Times New Roman" w:hAnsi="Times New Roman"/>
                <w:sz w:val="24"/>
                <w:lang w:val="uk-UA"/>
              </w:rPr>
            </w:pPr>
            <w:r>
              <w:rPr>
                <w:rFonts w:ascii="Times New Roman" w:hAnsi="Times New Roman"/>
                <w:sz w:val="24"/>
                <w:lang w:val="uk-UA"/>
              </w:rPr>
              <w:t>Витрати на оборотні активи (матеріали, канцелярські товари тощо), гривень</w:t>
            </w:r>
          </w:p>
        </w:tc>
        <w:tc>
          <w:tcPr>
            <w:tcW w:w="0" w:type="auto"/>
          </w:tcPr>
          <w:p w14:paraId="06BCBE40"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c>
          <w:tcPr>
            <w:tcW w:w="0" w:type="auto"/>
          </w:tcPr>
          <w:p w14:paraId="11DB4112"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r>
      <w:tr w:rsidR="00430922" w14:paraId="48862A34" w14:textId="77777777">
        <w:tc>
          <w:tcPr>
            <w:tcW w:w="0" w:type="auto"/>
          </w:tcPr>
          <w:p w14:paraId="1AE9CDC4" w14:textId="77777777" w:rsidR="00430922" w:rsidRDefault="00000000">
            <w:pPr>
              <w:jc w:val="center"/>
              <w:rPr>
                <w:rFonts w:ascii="Times New Roman" w:hAnsi="Times New Roman"/>
                <w:sz w:val="24"/>
                <w:lang w:val="uk-UA"/>
              </w:rPr>
            </w:pPr>
            <w:r>
              <w:rPr>
                <w:rFonts w:ascii="Times New Roman" w:hAnsi="Times New Roman"/>
                <w:sz w:val="24"/>
                <w:lang w:val="uk-UA"/>
              </w:rPr>
              <w:t>7.</w:t>
            </w:r>
          </w:p>
        </w:tc>
        <w:tc>
          <w:tcPr>
            <w:tcW w:w="0" w:type="auto"/>
          </w:tcPr>
          <w:p w14:paraId="1687A4DC" w14:textId="77777777" w:rsidR="00430922" w:rsidRDefault="00000000">
            <w:pPr>
              <w:jc w:val="center"/>
              <w:rPr>
                <w:rFonts w:ascii="Times New Roman" w:hAnsi="Times New Roman"/>
                <w:sz w:val="24"/>
                <w:lang w:val="uk-UA"/>
              </w:rPr>
            </w:pPr>
            <w:r>
              <w:rPr>
                <w:rFonts w:ascii="Times New Roman" w:hAnsi="Times New Roman"/>
                <w:sz w:val="24"/>
                <w:lang w:val="uk-UA"/>
              </w:rPr>
              <w:t xml:space="preserve">Витрати, пов’язані із </w:t>
            </w:r>
            <w:proofErr w:type="spellStart"/>
            <w:r>
              <w:rPr>
                <w:rFonts w:ascii="Times New Roman" w:hAnsi="Times New Roman"/>
                <w:sz w:val="24"/>
                <w:lang w:val="uk-UA"/>
              </w:rPr>
              <w:t>наймом</w:t>
            </w:r>
            <w:proofErr w:type="spellEnd"/>
            <w:r>
              <w:rPr>
                <w:rFonts w:ascii="Times New Roman" w:hAnsi="Times New Roman"/>
                <w:sz w:val="24"/>
                <w:lang w:val="uk-UA"/>
              </w:rPr>
              <w:t xml:space="preserve"> додаткового персоналу, гривень</w:t>
            </w:r>
          </w:p>
        </w:tc>
        <w:tc>
          <w:tcPr>
            <w:tcW w:w="0" w:type="auto"/>
          </w:tcPr>
          <w:p w14:paraId="6CCC386D" w14:textId="77777777" w:rsidR="00430922" w:rsidRDefault="00000000">
            <w:pPr>
              <w:jc w:val="center"/>
              <w:rPr>
                <w:rFonts w:ascii="Times New Roman" w:hAnsi="Times New Roman"/>
                <w:sz w:val="24"/>
                <w:lang w:val="uk-UA"/>
              </w:rPr>
            </w:pPr>
            <w:r>
              <w:rPr>
                <w:rFonts w:ascii="Times New Roman" w:hAnsi="Times New Roman"/>
                <w:sz w:val="24"/>
                <w:lang w:val="uk-UA"/>
              </w:rPr>
              <w:t>960000</w:t>
            </w:r>
          </w:p>
        </w:tc>
        <w:tc>
          <w:tcPr>
            <w:tcW w:w="0" w:type="auto"/>
          </w:tcPr>
          <w:p w14:paraId="719DA9C0" w14:textId="77777777" w:rsidR="00430922" w:rsidRDefault="00000000">
            <w:pPr>
              <w:jc w:val="center"/>
              <w:rPr>
                <w:rFonts w:ascii="Times New Roman" w:hAnsi="Times New Roman"/>
                <w:sz w:val="24"/>
                <w:lang w:val="uk-UA"/>
              </w:rPr>
            </w:pPr>
            <w:r>
              <w:rPr>
                <w:rFonts w:ascii="Times New Roman" w:hAnsi="Times New Roman"/>
                <w:sz w:val="24"/>
                <w:lang w:val="uk-UA"/>
              </w:rPr>
              <w:t>4 800 000</w:t>
            </w:r>
          </w:p>
        </w:tc>
      </w:tr>
      <w:tr w:rsidR="00430922" w14:paraId="61972333" w14:textId="77777777">
        <w:tc>
          <w:tcPr>
            <w:tcW w:w="0" w:type="auto"/>
          </w:tcPr>
          <w:p w14:paraId="5E0DE5AE" w14:textId="77777777" w:rsidR="00430922" w:rsidRDefault="00000000">
            <w:pPr>
              <w:jc w:val="center"/>
              <w:rPr>
                <w:rFonts w:ascii="Times New Roman" w:hAnsi="Times New Roman"/>
                <w:sz w:val="24"/>
                <w:lang w:val="uk-UA"/>
              </w:rPr>
            </w:pPr>
            <w:r>
              <w:rPr>
                <w:rFonts w:ascii="Times New Roman" w:hAnsi="Times New Roman"/>
                <w:sz w:val="24"/>
                <w:lang w:val="uk-UA"/>
              </w:rPr>
              <w:t>8.</w:t>
            </w:r>
          </w:p>
        </w:tc>
        <w:tc>
          <w:tcPr>
            <w:tcW w:w="0" w:type="auto"/>
          </w:tcPr>
          <w:p w14:paraId="5631276A" w14:textId="77777777" w:rsidR="00430922" w:rsidRDefault="00000000">
            <w:pPr>
              <w:jc w:val="center"/>
              <w:rPr>
                <w:rFonts w:ascii="Times New Roman" w:hAnsi="Times New Roman"/>
                <w:sz w:val="24"/>
                <w:lang w:val="uk-UA"/>
              </w:rPr>
            </w:pPr>
            <w:r>
              <w:rPr>
                <w:rFonts w:ascii="Times New Roman" w:hAnsi="Times New Roman"/>
                <w:sz w:val="24"/>
                <w:lang w:val="uk-UA"/>
              </w:rPr>
              <w:t>Інше (уточнити), гривень</w:t>
            </w:r>
          </w:p>
        </w:tc>
        <w:tc>
          <w:tcPr>
            <w:tcW w:w="0" w:type="auto"/>
          </w:tcPr>
          <w:p w14:paraId="36C1FA3B"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c>
          <w:tcPr>
            <w:tcW w:w="0" w:type="auto"/>
          </w:tcPr>
          <w:p w14:paraId="4AA9726A" w14:textId="77777777" w:rsidR="00430922" w:rsidRDefault="00000000">
            <w:pPr>
              <w:jc w:val="center"/>
              <w:rPr>
                <w:rFonts w:ascii="Times New Roman" w:hAnsi="Times New Roman"/>
                <w:sz w:val="24"/>
                <w:lang w:val="uk-UA"/>
              </w:rPr>
            </w:pPr>
            <w:r>
              <w:rPr>
                <w:rFonts w:ascii="Times New Roman" w:hAnsi="Times New Roman"/>
                <w:sz w:val="24"/>
                <w:lang w:val="uk-UA"/>
              </w:rPr>
              <w:t>Не передбачено</w:t>
            </w:r>
          </w:p>
        </w:tc>
      </w:tr>
      <w:tr w:rsidR="00430922" w14:paraId="6D714138" w14:textId="77777777">
        <w:tc>
          <w:tcPr>
            <w:tcW w:w="0" w:type="auto"/>
          </w:tcPr>
          <w:p w14:paraId="7E2E3B6F" w14:textId="77777777" w:rsidR="00430922" w:rsidRDefault="00000000">
            <w:pPr>
              <w:jc w:val="center"/>
              <w:rPr>
                <w:rFonts w:ascii="Times New Roman" w:hAnsi="Times New Roman"/>
                <w:sz w:val="24"/>
                <w:lang w:val="uk-UA"/>
              </w:rPr>
            </w:pPr>
            <w:r>
              <w:rPr>
                <w:rFonts w:ascii="Times New Roman" w:hAnsi="Times New Roman"/>
                <w:sz w:val="24"/>
                <w:lang w:val="uk-UA"/>
              </w:rPr>
              <w:t>9.</w:t>
            </w:r>
          </w:p>
        </w:tc>
        <w:tc>
          <w:tcPr>
            <w:tcW w:w="0" w:type="auto"/>
          </w:tcPr>
          <w:p w14:paraId="4EAAFE58" w14:textId="77777777" w:rsidR="00430922" w:rsidRDefault="00000000">
            <w:pPr>
              <w:jc w:val="center"/>
              <w:rPr>
                <w:rFonts w:ascii="Times New Roman" w:hAnsi="Times New Roman"/>
                <w:sz w:val="24"/>
                <w:lang w:val="uk-UA"/>
              </w:rPr>
            </w:pPr>
            <w:r>
              <w:rPr>
                <w:rFonts w:ascii="Times New Roman" w:hAnsi="Times New Roman"/>
                <w:sz w:val="24"/>
                <w:lang w:val="uk-UA"/>
              </w:rPr>
              <w:t>РАЗОМ (сума рядків: 1 + 2 + 3 + 4 + 5 + 6 + 7 + 8), гривень</w:t>
            </w:r>
          </w:p>
        </w:tc>
        <w:tc>
          <w:tcPr>
            <w:tcW w:w="0" w:type="auto"/>
          </w:tcPr>
          <w:p w14:paraId="10EC5AE6" w14:textId="77777777" w:rsidR="00430922" w:rsidRDefault="00000000">
            <w:pPr>
              <w:jc w:val="center"/>
              <w:rPr>
                <w:rFonts w:ascii="Times New Roman" w:hAnsi="Times New Roman"/>
                <w:sz w:val="24"/>
                <w:lang w:val="uk-UA"/>
              </w:rPr>
            </w:pPr>
            <w:r>
              <w:rPr>
                <w:rFonts w:ascii="Times New Roman" w:hAnsi="Times New Roman"/>
                <w:sz w:val="24"/>
                <w:lang w:val="uk-UA"/>
              </w:rPr>
              <w:t>960000</w:t>
            </w:r>
          </w:p>
        </w:tc>
        <w:tc>
          <w:tcPr>
            <w:tcW w:w="0" w:type="auto"/>
          </w:tcPr>
          <w:p w14:paraId="5667F6BB" w14:textId="77777777" w:rsidR="00430922" w:rsidRDefault="00000000">
            <w:pPr>
              <w:jc w:val="center"/>
              <w:rPr>
                <w:rFonts w:ascii="Times New Roman" w:hAnsi="Times New Roman"/>
                <w:sz w:val="24"/>
                <w:lang w:val="uk-UA"/>
              </w:rPr>
            </w:pPr>
            <w:r>
              <w:rPr>
                <w:rFonts w:ascii="Times New Roman" w:hAnsi="Times New Roman"/>
                <w:sz w:val="24"/>
                <w:lang w:val="uk-UA"/>
              </w:rPr>
              <w:t>4 800 000</w:t>
            </w:r>
          </w:p>
        </w:tc>
      </w:tr>
      <w:tr w:rsidR="00430922" w14:paraId="1D839302" w14:textId="77777777">
        <w:tc>
          <w:tcPr>
            <w:tcW w:w="0" w:type="auto"/>
          </w:tcPr>
          <w:p w14:paraId="2CDFE0A7" w14:textId="77777777" w:rsidR="00430922" w:rsidRDefault="00000000">
            <w:pPr>
              <w:jc w:val="center"/>
              <w:rPr>
                <w:rFonts w:ascii="Times New Roman" w:hAnsi="Times New Roman"/>
                <w:sz w:val="24"/>
                <w:lang w:val="uk-UA"/>
              </w:rPr>
            </w:pPr>
            <w:r>
              <w:rPr>
                <w:rFonts w:ascii="Times New Roman" w:hAnsi="Times New Roman"/>
                <w:sz w:val="24"/>
                <w:lang w:val="uk-UA"/>
              </w:rPr>
              <w:t>10.</w:t>
            </w:r>
          </w:p>
        </w:tc>
        <w:tc>
          <w:tcPr>
            <w:tcW w:w="0" w:type="auto"/>
          </w:tcPr>
          <w:p w14:paraId="23BA424F" w14:textId="77777777" w:rsidR="00430922" w:rsidRDefault="00000000">
            <w:pPr>
              <w:jc w:val="center"/>
              <w:rPr>
                <w:rFonts w:ascii="Times New Roman" w:hAnsi="Times New Roman"/>
                <w:sz w:val="24"/>
                <w:lang w:val="uk-UA"/>
              </w:rPr>
            </w:pPr>
            <w:r>
              <w:rPr>
                <w:rFonts w:ascii="Times New Roman" w:hAnsi="Times New Roman"/>
                <w:sz w:val="24"/>
                <w:lang w:val="uk-UA"/>
              </w:rPr>
              <w:t>Кількість суб’єктів господарювання великого та середнього підприємництва, на яких буде поширено регулювання, одиниць</w:t>
            </w:r>
          </w:p>
        </w:tc>
        <w:tc>
          <w:tcPr>
            <w:tcW w:w="0" w:type="auto"/>
          </w:tcPr>
          <w:p w14:paraId="3B8E89CC" w14:textId="77777777" w:rsidR="00430922" w:rsidRDefault="00000000">
            <w:pPr>
              <w:jc w:val="center"/>
              <w:rPr>
                <w:rFonts w:ascii="Times New Roman" w:hAnsi="Times New Roman"/>
                <w:sz w:val="24"/>
                <w:lang w:val="uk-UA"/>
              </w:rPr>
            </w:pPr>
            <w:r>
              <w:rPr>
                <w:rFonts w:ascii="Times New Roman" w:hAnsi="Times New Roman"/>
                <w:sz w:val="24"/>
                <w:lang w:val="uk-UA"/>
              </w:rPr>
              <w:t>40</w:t>
            </w:r>
          </w:p>
        </w:tc>
        <w:tc>
          <w:tcPr>
            <w:tcW w:w="0" w:type="auto"/>
          </w:tcPr>
          <w:p w14:paraId="66491A51" w14:textId="77777777" w:rsidR="00430922" w:rsidRDefault="00000000">
            <w:pPr>
              <w:jc w:val="center"/>
              <w:rPr>
                <w:rFonts w:ascii="Times New Roman" w:hAnsi="Times New Roman"/>
                <w:sz w:val="24"/>
                <w:lang w:val="uk-UA"/>
              </w:rPr>
            </w:pPr>
            <w:r>
              <w:rPr>
                <w:rFonts w:ascii="Times New Roman" w:hAnsi="Times New Roman"/>
                <w:sz w:val="24"/>
                <w:lang w:val="uk-UA"/>
              </w:rPr>
              <w:t>40</w:t>
            </w:r>
          </w:p>
        </w:tc>
      </w:tr>
      <w:tr w:rsidR="00430922" w14:paraId="00829156" w14:textId="77777777">
        <w:tc>
          <w:tcPr>
            <w:tcW w:w="0" w:type="auto"/>
          </w:tcPr>
          <w:p w14:paraId="5BAB77AF" w14:textId="77777777" w:rsidR="00430922" w:rsidRDefault="00000000">
            <w:pPr>
              <w:jc w:val="center"/>
              <w:rPr>
                <w:rFonts w:ascii="Times New Roman" w:hAnsi="Times New Roman"/>
                <w:sz w:val="24"/>
                <w:lang w:val="uk-UA"/>
              </w:rPr>
            </w:pPr>
            <w:r>
              <w:rPr>
                <w:rFonts w:ascii="Times New Roman" w:hAnsi="Times New Roman"/>
                <w:sz w:val="24"/>
                <w:lang w:val="uk-UA"/>
              </w:rPr>
              <w:t>11.</w:t>
            </w:r>
          </w:p>
        </w:tc>
        <w:tc>
          <w:tcPr>
            <w:tcW w:w="0" w:type="auto"/>
          </w:tcPr>
          <w:p w14:paraId="5C1B6B1C" w14:textId="77777777" w:rsidR="00430922" w:rsidRDefault="00000000">
            <w:pPr>
              <w:jc w:val="center"/>
              <w:rPr>
                <w:rFonts w:ascii="Times New Roman" w:hAnsi="Times New Roman"/>
                <w:sz w:val="24"/>
                <w:lang w:val="uk-UA"/>
              </w:rPr>
            </w:pPr>
            <w:r>
              <w:rPr>
                <w:rFonts w:ascii="Times New Roman" w:hAnsi="Times New Roman"/>
                <w:sz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0" w:type="auto"/>
          </w:tcPr>
          <w:p w14:paraId="22E8F8A6" w14:textId="77777777" w:rsidR="00430922" w:rsidRDefault="00000000">
            <w:pPr>
              <w:jc w:val="center"/>
              <w:rPr>
                <w:rFonts w:ascii="Times New Roman" w:hAnsi="Times New Roman"/>
                <w:sz w:val="24"/>
                <w:lang w:val="uk-UA"/>
              </w:rPr>
            </w:pPr>
            <w:r>
              <w:rPr>
                <w:rFonts w:ascii="Times New Roman" w:hAnsi="Times New Roman"/>
                <w:sz w:val="24"/>
                <w:lang w:val="uk-UA"/>
              </w:rPr>
              <w:t>38 400 000</w:t>
            </w:r>
          </w:p>
        </w:tc>
        <w:tc>
          <w:tcPr>
            <w:tcW w:w="0" w:type="auto"/>
          </w:tcPr>
          <w:p w14:paraId="5E97CC39" w14:textId="77777777" w:rsidR="00430922" w:rsidRDefault="00000000">
            <w:pPr>
              <w:jc w:val="center"/>
              <w:rPr>
                <w:rFonts w:ascii="Times New Roman" w:hAnsi="Times New Roman"/>
                <w:sz w:val="24"/>
                <w:lang w:val="uk-UA"/>
              </w:rPr>
            </w:pPr>
            <w:r>
              <w:rPr>
                <w:rFonts w:ascii="Times New Roman" w:hAnsi="Times New Roman"/>
                <w:sz w:val="24"/>
                <w:lang w:val="uk-UA"/>
              </w:rPr>
              <w:t>192 000 000</w:t>
            </w:r>
          </w:p>
        </w:tc>
      </w:tr>
    </w:tbl>
    <w:p w14:paraId="2C0E2F90" w14:textId="77777777" w:rsidR="00430922" w:rsidRDefault="00430922">
      <w:pPr>
        <w:spacing w:after="0" w:line="240" w:lineRule="auto"/>
        <w:ind w:firstLine="720"/>
        <w:jc w:val="center"/>
        <w:rPr>
          <w:rFonts w:ascii="Times New Roman" w:hAnsi="Times New Roman"/>
          <w:b/>
          <w:sz w:val="26"/>
          <w:lang w:val="uk-UA"/>
        </w:rPr>
      </w:pPr>
    </w:p>
    <w:p w14:paraId="37437E4E" w14:textId="77777777" w:rsidR="00430922" w:rsidRDefault="00000000">
      <w:pPr>
        <w:rPr>
          <w:rFonts w:ascii="Times New Roman" w:hAnsi="Times New Roman"/>
          <w:b/>
          <w:sz w:val="26"/>
          <w:lang w:val="uk-UA"/>
        </w:rPr>
      </w:pPr>
      <w:r>
        <w:rPr>
          <w:rFonts w:ascii="Times New Roman" w:hAnsi="Times New Roman"/>
          <w:b/>
          <w:sz w:val="26"/>
          <w:lang w:val="uk-UA"/>
        </w:rPr>
        <w:br w:type="page"/>
      </w:r>
    </w:p>
    <w:p w14:paraId="33515742" w14:textId="77777777" w:rsidR="00430922" w:rsidRDefault="00430922">
      <w:pPr>
        <w:spacing w:after="0" w:line="240" w:lineRule="auto"/>
        <w:ind w:firstLine="720"/>
        <w:jc w:val="center"/>
        <w:rPr>
          <w:rFonts w:ascii="Times New Roman" w:hAnsi="Times New Roman"/>
          <w:b/>
          <w:sz w:val="26"/>
          <w:lang w:val="uk-UA"/>
        </w:rPr>
      </w:pPr>
    </w:p>
    <w:p w14:paraId="528D43C3" w14:textId="77777777" w:rsidR="00430922" w:rsidRDefault="00000000">
      <w:pPr>
        <w:spacing w:after="0" w:line="240" w:lineRule="auto"/>
        <w:ind w:firstLine="720"/>
        <w:jc w:val="center"/>
        <w:rPr>
          <w:rFonts w:ascii="Times New Roman" w:hAnsi="Times New Roman"/>
          <w:sz w:val="26"/>
          <w:lang w:val="uk-UA"/>
        </w:rPr>
      </w:pPr>
      <w:r>
        <w:rPr>
          <w:rFonts w:ascii="Times New Roman" w:hAnsi="Times New Roman"/>
          <w:b/>
          <w:sz w:val="26"/>
          <w:lang w:val="uk-UA"/>
        </w:rPr>
        <w:tab/>
      </w:r>
      <w:r>
        <w:rPr>
          <w:rFonts w:ascii="Times New Roman" w:hAnsi="Times New Roman"/>
          <w:b/>
          <w:sz w:val="26"/>
          <w:lang w:val="uk-UA"/>
        </w:rPr>
        <w:tab/>
      </w:r>
      <w:r>
        <w:rPr>
          <w:rFonts w:ascii="Times New Roman" w:hAnsi="Times New Roman"/>
          <w:b/>
          <w:sz w:val="26"/>
          <w:lang w:val="uk-UA"/>
        </w:rPr>
        <w:tab/>
      </w:r>
      <w:r>
        <w:rPr>
          <w:rFonts w:ascii="Times New Roman" w:hAnsi="Times New Roman"/>
          <w:b/>
          <w:sz w:val="26"/>
          <w:lang w:val="uk-UA"/>
        </w:rPr>
        <w:tab/>
      </w:r>
      <w:r>
        <w:rPr>
          <w:rFonts w:ascii="Times New Roman" w:hAnsi="Times New Roman"/>
          <w:b/>
          <w:sz w:val="26"/>
          <w:lang w:val="uk-UA"/>
        </w:rPr>
        <w:tab/>
      </w:r>
      <w:r>
        <w:rPr>
          <w:rFonts w:ascii="Times New Roman" w:hAnsi="Times New Roman"/>
          <w:b/>
          <w:sz w:val="26"/>
          <w:lang w:val="uk-UA"/>
        </w:rPr>
        <w:tab/>
      </w:r>
      <w:r>
        <w:rPr>
          <w:rFonts w:ascii="Times New Roman" w:hAnsi="Times New Roman"/>
          <w:b/>
          <w:sz w:val="26"/>
          <w:lang w:val="uk-UA"/>
        </w:rPr>
        <w:tab/>
      </w:r>
      <w:r>
        <w:rPr>
          <w:rFonts w:ascii="Times New Roman" w:hAnsi="Times New Roman"/>
          <w:b/>
          <w:sz w:val="26"/>
          <w:lang w:val="uk-UA"/>
        </w:rPr>
        <w:tab/>
      </w:r>
      <w:r>
        <w:rPr>
          <w:rFonts w:ascii="Times New Roman" w:hAnsi="Times New Roman"/>
          <w:b/>
          <w:sz w:val="26"/>
          <w:lang w:val="uk-UA"/>
        </w:rPr>
        <w:tab/>
      </w:r>
      <w:r>
        <w:rPr>
          <w:rFonts w:ascii="Times New Roman" w:hAnsi="Times New Roman"/>
          <w:sz w:val="26"/>
          <w:lang w:val="uk-UA"/>
        </w:rPr>
        <w:t>Додаток 2</w:t>
      </w:r>
    </w:p>
    <w:p w14:paraId="106D5FF1" w14:textId="77777777" w:rsidR="00430922" w:rsidRDefault="00430922">
      <w:pPr>
        <w:spacing w:after="0" w:line="240" w:lineRule="auto"/>
        <w:ind w:firstLine="720"/>
        <w:jc w:val="center"/>
        <w:rPr>
          <w:rFonts w:ascii="Times New Roman" w:hAnsi="Times New Roman"/>
          <w:sz w:val="26"/>
          <w:lang w:val="uk-UA"/>
        </w:rPr>
      </w:pPr>
    </w:p>
    <w:p w14:paraId="4F065AB2"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БЮДЖЕТНІ ВИТРАТИ</w:t>
      </w:r>
    </w:p>
    <w:p w14:paraId="41D236B4"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на адміністрування регулювання для суб’єктів великого і середнього підприємництва</w:t>
      </w:r>
    </w:p>
    <w:p w14:paraId="388981A4" w14:textId="77777777" w:rsidR="00430922" w:rsidRDefault="00000000">
      <w:pPr>
        <w:spacing w:after="0" w:line="240" w:lineRule="auto"/>
        <w:ind w:firstLine="720"/>
        <w:jc w:val="center"/>
        <w:rPr>
          <w:rFonts w:ascii="Times New Roman" w:hAnsi="Times New Roman"/>
          <w:b/>
          <w:sz w:val="26"/>
          <w:lang w:val="uk-UA"/>
        </w:rPr>
      </w:pPr>
      <w:r>
        <w:rPr>
          <w:rFonts w:ascii="Times New Roman" w:hAnsi="Times New Roman"/>
          <w:b/>
          <w:sz w:val="26"/>
          <w:lang w:val="uk-UA"/>
        </w:rPr>
        <w:t>Міністерства у справах ветеранів України</w:t>
      </w:r>
    </w:p>
    <w:p w14:paraId="0E3F39C9" w14:textId="77777777" w:rsidR="00430922" w:rsidRDefault="00430922">
      <w:pPr>
        <w:spacing w:after="0" w:line="240" w:lineRule="auto"/>
        <w:ind w:firstLine="720"/>
        <w:jc w:val="center"/>
        <w:rPr>
          <w:rFonts w:ascii="Times New Roman" w:hAnsi="Times New Roman"/>
          <w:b/>
          <w:sz w:val="26"/>
          <w:lang w:val="uk-UA"/>
        </w:rPr>
      </w:pPr>
    </w:p>
    <w:tbl>
      <w:tblPr>
        <w:tblStyle w:val="a6"/>
        <w:tblW w:w="0" w:type="auto"/>
        <w:tblLook w:val="04A0" w:firstRow="1" w:lastRow="0" w:firstColumn="1" w:lastColumn="0" w:noHBand="0" w:noVBand="1"/>
      </w:tblPr>
      <w:tblGrid>
        <w:gridCol w:w="1841"/>
        <w:gridCol w:w="1213"/>
        <w:gridCol w:w="1528"/>
        <w:gridCol w:w="1350"/>
        <w:gridCol w:w="1659"/>
        <w:gridCol w:w="1759"/>
      </w:tblGrid>
      <w:tr w:rsidR="00430922" w:rsidRPr="00735CCD" w14:paraId="4E005854" w14:textId="77777777">
        <w:tc>
          <w:tcPr>
            <w:tcW w:w="0" w:type="auto"/>
          </w:tcPr>
          <w:p w14:paraId="2A989941" w14:textId="77777777" w:rsidR="00430922" w:rsidRDefault="00000000">
            <w:pPr>
              <w:jc w:val="center"/>
              <w:rPr>
                <w:rFonts w:ascii="Times New Roman" w:hAnsi="Times New Roman"/>
                <w:sz w:val="24"/>
                <w:lang w:val="uk-UA"/>
              </w:rPr>
            </w:pPr>
            <w:r>
              <w:rPr>
                <w:rFonts w:ascii="Times New Roman" w:hAnsi="Times New Roman"/>
                <w:sz w:val="24"/>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0" w:type="auto"/>
          </w:tcPr>
          <w:p w14:paraId="3B3C2629" w14:textId="77777777" w:rsidR="00430922" w:rsidRDefault="00000000">
            <w:pPr>
              <w:jc w:val="center"/>
              <w:rPr>
                <w:rFonts w:ascii="Times New Roman" w:hAnsi="Times New Roman"/>
                <w:sz w:val="24"/>
                <w:lang w:val="uk-UA"/>
              </w:rPr>
            </w:pPr>
            <w:r>
              <w:rPr>
                <w:rFonts w:ascii="Times New Roman" w:hAnsi="Times New Roman"/>
                <w:sz w:val="24"/>
                <w:lang w:val="uk-UA"/>
              </w:rPr>
              <w:t>Планові витрати часу на процедуру</w:t>
            </w:r>
          </w:p>
        </w:tc>
        <w:tc>
          <w:tcPr>
            <w:tcW w:w="0" w:type="auto"/>
          </w:tcPr>
          <w:p w14:paraId="0D90BAAE" w14:textId="77777777" w:rsidR="00430922" w:rsidRDefault="00000000">
            <w:pPr>
              <w:jc w:val="center"/>
              <w:rPr>
                <w:rFonts w:ascii="Times New Roman" w:hAnsi="Times New Roman"/>
                <w:sz w:val="24"/>
                <w:lang w:val="uk-UA"/>
              </w:rPr>
            </w:pPr>
            <w:r>
              <w:rPr>
                <w:rFonts w:ascii="Times New Roman" w:hAnsi="Times New Roman"/>
                <w:sz w:val="24"/>
                <w:lang w:val="uk-UA"/>
              </w:rPr>
              <w:t>Вартість часу співробітника органу державної влади відповідної категорії (заробітна плата)*</w:t>
            </w:r>
          </w:p>
        </w:tc>
        <w:tc>
          <w:tcPr>
            <w:tcW w:w="0" w:type="auto"/>
          </w:tcPr>
          <w:p w14:paraId="04565924" w14:textId="77777777" w:rsidR="00430922" w:rsidRDefault="00000000">
            <w:pPr>
              <w:jc w:val="center"/>
              <w:rPr>
                <w:rFonts w:ascii="Times New Roman" w:hAnsi="Times New Roman"/>
                <w:sz w:val="24"/>
                <w:lang w:val="uk-UA"/>
              </w:rPr>
            </w:pPr>
            <w:r>
              <w:rPr>
                <w:rFonts w:ascii="Times New Roman" w:hAnsi="Times New Roman"/>
                <w:sz w:val="24"/>
                <w:lang w:val="uk-UA"/>
              </w:rPr>
              <w:t>Оцінка кількості процедур за рік, що припадають на одного суб’єкта</w:t>
            </w:r>
          </w:p>
        </w:tc>
        <w:tc>
          <w:tcPr>
            <w:tcW w:w="0" w:type="auto"/>
          </w:tcPr>
          <w:p w14:paraId="7FA668D4" w14:textId="77777777" w:rsidR="00430922" w:rsidRDefault="00000000">
            <w:pPr>
              <w:jc w:val="center"/>
              <w:rPr>
                <w:rFonts w:ascii="Times New Roman" w:hAnsi="Times New Roman"/>
                <w:sz w:val="24"/>
                <w:lang w:val="uk-UA"/>
              </w:rPr>
            </w:pPr>
            <w:r>
              <w:rPr>
                <w:rFonts w:ascii="Times New Roman" w:hAnsi="Times New Roman"/>
                <w:sz w:val="24"/>
                <w:lang w:val="uk-UA"/>
              </w:rPr>
              <w:t>Оцінка кількості  суб’єктів, що підпадають під дію процедури регулювання**</w:t>
            </w:r>
          </w:p>
        </w:tc>
        <w:tc>
          <w:tcPr>
            <w:tcW w:w="0" w:type="auto"/>
          </w:tcPr>
          <w:p w14:paraId="2E109A68" w14:textId="77777777" w:rsidR="00430922" w:rsidRDefault="00000000">
            <w:pPr>
              <w:jc w:val="center"/>
              <w:rPr>
                <w:rFonts w:ascii="Times New Roman" w:hAnsi="Times New Roman"/>
                <w:sz w:val="24"/>
                <w:lang w:val="uk-UA"/>
              </w:rPr>
            </w:pPr>
            <w:r>
              <w:rPr>
                <w:rFonts w:ascii="Times New Roman" w:hAnsi="Times New Roman"/>
                <w:sz w:val="24"/>
                <w:lang w:val="uk-UA"/>
              </w:rPr>
              <w:t>Витрати на адміністрування регулювання* (за рік), гривень</w:t>
            </w:r>
          </w:p>
        </w:tc>
      </w:tr>
      <w:tr w:rsidR="00430922" w14:paraId="4FA15581" w14:textId="77777777">
        <w:tc>
          <w:tcPr>
            <w:tcW w:w="0" w:type="auto"/>
          </w:tcPr>
          <w:p w14:paraId="7E497277" w14:textId="77777777" w:rsidR="00430922" w:rsidRDefault="00000000">
            <w:pPr>
              <w:jc w:val="center"/>
              <w:rPr>
                <w:rFonts w:ascii="Times New Roman" w:hAnsi="Times New Roman"/>
                <w:sz w:val="24"/>
                <w:lang w:val="uk-UA"/>
              </w:rPr>
            </w:pPr>
            <w:r>
              <w:rPr>
                <w:rFonts w:ascii="Times New Roman" w:hAnsi="Times New Roman"/>
                <w:sz w:val="24"/>
                <w:lang w:val="uk-UA"/>
              </w:rPr>
              <w:t>1. Облік суб’єкта господарювання, що перебуває у сфері регулювання (укладання договору про відшкодування вартості наданих послуг)</w:t>
            </w:r>
          </w:p>
        </w:tc>
        <w:tc>
          <w:tcPr>
            <w:tcW w:w="0" w:type="auto"/>
          </w:tcPr>
          <w:p w14:paraId="62B94B45" w14:textId="77777777" w:rsidR="00430922" w:rsidRDefault="00000000">
            <w:pPr>
              <w:jc w:val="center"/>
              <w:rPr>
                <w:rFonts w:ascii="Times New Roman" w:hAnsi="Times New Roman"/>
                <w:sz w:val="24"/>
                <w:lang w:val="uk-UA"/>
              </w:rPr>
            </w:pPr>
            <w:r>
              <w:rPr>
                <w:rFonts w:ascii="Times New Roman" w:hAnsi="Times New Roman"/>
                <w:sz w:val="24"/>
                <w:lang w:val="uk-UA"/>
              </w:rPr>
              <w:t>1,5</w:t>
            </w:r>
          </w:p>
        </w:tc>
        <w:tc>
          <w:tcPr>
            <w:tcW w:w="0" w:type="auto"/>
          </w:tcPr>
          <w:p w14:paraId="798982A2" w14:textId="77777777" w:rsidR="00430922" w:rsidRDefault="00000000">
            <w:pPr>
              <w:jc w:val="center"/>
              <w:rPr>
                <w:rFonts w:ascii="Times New Roman" w:hAnsi="Times New Roman"/>
                <w:sz w:val="24"/>
                <w:lang w:val="uk-UA"/>
              </w:rPr>
            </w:pPr>
            <w:r>
              <w:rPr>
                <w:rFonts w:ascii="Times New Roman" w:hAnsi="Times New Roman"/>
                <w:sz w:val="24"/>
                <w:lang w:val="uk-UA"/>
              </w:rPr>
              <w:t>100,89</w:t>
            </w:r>
          </w:p>
        </w:tc>
        <w:tc>
          <w:tcPr>
            <w:tcW w:w="0" w:type="auto"/>
          </w:tcPr>
          <w:p w14:paraId="2B6588A0" w14:textId="77777777" w:rsidR="00430922" w:rsidRDefault="00000000">
            <w:pPr>
              <w:jc w:val="center"/>
              <w:rPr>
                <w:rFonts w:ascii="Times New Roman" w:hAnsi="Times New Roman"/>
                <w:sz w:val="24"/>
                <w:lang w:val="uk-UA"/>
              </w:rPr>
            </w:pPr>
            <w:r>
              <w:rPr>
                <w:rFonts w:ascii="Times New Roman" w:hAnsi="Times New Roman"/>
                <w:sz w:val="24"/>
                <w:lang w:val="uk-UA"/>
              </w:rPr>
              <w:t>1</w:t>
            </w:r>
          </w:p>
        </w:tc>
        <w:tc>
          <w:tcPr>
            <w:tcW w:w="0" w:type="auto"/>
          </w:tcPr>
          <w:p w14:paraId="71371AB1" w14:textId="77777777" w:rsidR="00430922" w:rsidRDefault="00000000">
            <w:pPr>
              <w:jc w:val="center"/>
              <w:rPr>
                <w:rFonts w:ascii="Times New Roman" w:hAnsi="Times New Roman"/>
                <w:sz w:val="24"/>
                <w:lang w:val="uk-UA"/>
              </w:rPr>
            </w:pPr>
            <w:r>
              <w:rPr>
                <w:rFonts w:ascii="Times New Roman" w:hAnsi="Times New Roman"/>
                <w:sz w:val="24"/>
                <w:lang w:val="uk-UA"/>
              </w:rPr>
              <w:t>40</w:t>
            </w:r>
          </w:p>
        </w:tc>
        <w:tc>
          <w:tcPr>
            <w:tcW w:w="0" w:type="auto"/>
          </w:tcPr>
          <w:p w14:paraId="6A07FDD2" w14:textId="77777777" w:rsidR="00430922" w:rsidRDefault="00000000">
            <w:pPr>
              <w:jc w:val="center"/>
              <w:rPr>
                <w:rFonts w:ascii="Times New Roman" w:hAnsi="Times New Roman"/>
                <w:sz w:val="24"/>
                <w:lang w:val="uk-UA"/>
              </w:rPr>
            </w:pPr>
            <w:r>
              <w:rPr>
                <w:rFonts w:ascii="Times New Roman" w:hAnsi="Times New Roman"/>
                <w:sz w:val="24"/>
                <w:lang w:val="uk-UA"/>
              </w:rPr>
              <w:t>4035,6</w:t>
            </w:r>
          </w:p>
        </w:tc>
      </w:tr>
      <w:tr w:rsidR="00430922" w14:paraId="3917D26A" w14:textId="77777777">
        <w:tc>
          <w:tcPr>
            <w:tcW w:w="0" w:type="auto"/>
          </w:tcPr>
          <w:p w14:paraId="7B5A0522" w14:textId="77777777" w:rsidR="00430922" w:rsidRDefault="00000000">
            <w:pPr>
              <w:jc w:val="center"/>
              <w:rPr>
                <w:rFonts w:ascii="Times New Roman" w:hAnsi="Times New Roman"/>
                <w:sz w:val="24"/>
                <w:lang w:val="uk-UA"/>
              </w:rPr>
            </w:pPr>
            <w:r>
              <w:rPr>
                <w:rFonts w:ascii="Times New Roman" w:hAnsi="Times New Roman"/>
                <w:sz w:val="24"/>
                <w:lang w:val="uk-UA"/>
              </w:rPr>
              <w:t>2. Поточний контроль за суб’єктом господарювання, що перебуває у сфері регулювання, у тому числі (щомісячна звітність):</w:t>
            </w:r>
          </w:p>
        </w:tc>
        <w:tc>
          <w:tcPr>
            <w:tcW w:w="0" w:type="auto"/>
          </w:tcPr>
          <w:p w14:paraId="4783F04C" w14:textId="77777777" w:rsidR="00430922" w:rsidRDefault="00000000">
            <w:pPr>
              <w:jc w:val="center"/>
              <w:rPr>
                <w:rFonts w:ascii="Times New Roman" w:hAnsi="Times New Roman"/>
                <w:sz w:val="24"/>
                <w:lang w:val="uk-UA"/>
              </w:rPr>
            </w:pPr>
            <w:r>
              <w:rPr>
                <w:rFonts w:ascii="Times New Roman" w:hAnsi="Times New Roman"/>
                <w:sz w:val="24"/>
                <w:lang w:val="uk-UA"/>
              </w:rPr>
              <w:t>2</w:t>
            </w:r>
          </w:p>
        </w:tc>
        <w:tc>
          <w:tcPr>
            <w:tcW w:w="0" w:type="auto"/>
          </w:tcPr>
          <w:p w14:paraId="2BA672B2" w14:textId="77777777" w:rsidR="00430922" w:rsidRDefault="00000000">
            <w:pPr>
              <w:jc w:val="center"/>
              <w:rPr>
                <w:rFonts w:ascii="Times New Roman" w:hAnsi="Times New Roman"/>
                <w:sz w:val="24"/>
                <w:lang w:val="ru-RU"/>
              </w:rPr>
            </w:pPr>
            <w:r>
              <w:rPr>
                <w:rFonts w:ascii="Times New Roman" w:hAnsi="Times New Roman"/>
                <w:sz w:val="24"/>
                <w:lang w:val="uk-UA"/>
              </w:rPr>
              <w:t>134,52</w:t>
            </w:r>
          </w:p>
        </w:tc>
        <w:tc>
          <w:tcPr>
            <w:tcW w:w="0" w:type="auto"/>
          </w:tcPr>
          <w:p w14:paraId="2B8ADD66" w14:textId="77777777" w:rsidR="00430922" w:rsidRDefault="00000000">
            <w:pPr>
              <w:jc w:val="center"/>
              <w:rPr>
                <w:rFonts w:ascii="Times New Roman" w:hAnsi="Times New Roman"/>
                <w:sz w:val="24"/>
                <w:lang w:val="uk-UA"/>
              </w:rPr>
            </w:pPr>
            <w:r>
              <w:rPr>
                <w:rFonts w:ascii="Times New Roman" w:hAnsi="Times New Roman"/>
                <w:sz w:val="24"/>
                <w:lang w:val="uk-UA"/>
              </w:rPr>
              <w:t>12</w:t>
            </w:r>
          </w:p>
        </w:tc>
        <w:tc>
          <w:tcPr>
            <w:tcW w:w="0" w:type="auto"/>
          </w:tcPr>
          <w:p w14:paraId="095C5784" w14:textId="77777777" w:rsidR="00430922" w:rsidRDefault="00000000">
            <w:pPr>
              <w:jc w:val="center"/>
              <w:rPr>
                <w:rFonts w:ascii="Times New Roman" w:hAnsi="Times New Roman"/>
                <w:sz w:val="24"/>
                <w:lang w:val="uk-UA"/>
              </w:rPr>
            </w:pPr>
            <w:r>
              <w:rPr>
                <w:rFonts w:ascii="Times New Roman" w:hAnsi="Times New Roman"/>
                <w:sz w:val="24"/>
                <w:lang w:val="uk-UA"/>
              </w:rPr>
              <w:t>40</w:t>
            </w:r>
          </w:p>
        </w:tc>
        <w:tc>
          <w:tcPr>
            <w:tcW w:w="0" w:type="auto"/>
          </w:tcPr>
          <w:p w14:paraId="3696250A" w14:textId="77777777" w:rsidR="00430922" w:rsidRDefault="00000000">
            <w:pPr>
              <w:jc w:val="center"/>
              <w:rPr>
                <w:rFonts w:ascii="Times New Roman" w:hAnsi="Times New Roman"/>
                <w:sz w:val="24"/>
                <w:lang w:val="uk-UA"/>
              </w:rPr>
            </w:pPr>
            <w:r>
              <w:rPr>
                <w:rFonts w:ascii="Times New Roman" w:hAnsi="Times New Roman"/>
                <w:sz w:val="24"/>
                <w:lang w:val="uk-UA"/>
              </w:rPr>
              <w:t>64 569,6</w:t>
            </w:r>
          </w:p>
        </w:tc>
      </w:tr>
      <w:tr w:rsidR="00430922" w14:paraId="00A603F3" w14:textId="77777777">
        <w:tc>
          <w:tcPr>
            <w:tcW w:w="0" w:type="auto"/>
          </w:tcPr>
          <w:p w14:paraId="61F007EB" w14:textId="77777777" w:rsidR="00430922" w:rsidRDefault="00000000">
            <w:pPr>
              <w:jc w:val="center"/>
              <w:rPr>
                <w:rFonts w:ascii="Times New Roman" w:hAnsi="Times New Roman"/>
                <w:sz w:val="24"/>
                <w:lang w:val="uk-UA"/>
              </w:rPr>
            </w:pPr>
            <w:r>
              <w:rPr>
                <w:rFonts w:ascii="Times New Roman" w:hAnsi="Times New Roman"/>
                <w:sz w:val="24"/>
                <w:lang w:val="uk-UA"/>
              </w:rPr>
              <w:t>камеральні</w:t>
            </w:r>
          </w:p>
        </w:tc>
        <w:tc>
          <w:tcPr>
            <w:tcW w:w="0" w:type="auto"/>
          </w:tcPr>
          <w:p w14:paraId="506CB34A"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7526ED74"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71707798"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02A8F730"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271F8E62" w14:textId="77777777" w:rsidR="00430922" w:rsidRDefault="00000000">
            <w:pPr>
              <w:jc w:val="center"/>
              <w:rPr>
                <w:rFonts w:ascii="Times New Roman" w:hAnsi="Times New Roman"/>
                <w:sz w:val="24"/>
                <w:lang w:val="uk-UA"/>
              </w:rPr>
            </w:pPr>
            <w:r>
              <w:rPr>
                <w:rFonts w:ascii="Times New Roman" w:hAnsi="Times New Roman"/>
                <w:sz w:val="24"/>
                <w:lang w:val="uk-UA"/>
              </w:rPr>
              <w:t>-</w:t>
            </w:r>
          </w:p>
        </w:tc>
      </w:tr>
      <w:tr w:rsidR="00430922" w14:paraId="7E908F81" w14:textId="77777777">
        <w:tc>
          <w:tcPr>
            <w:tcW w:w="0" w:type="auto"/>
          </w:tcPr>
          <w:p w14:paraId="7BF22A2F" w14:textId="77777777" w:rsidR="00430922" w:rsidRDefault="00000000">
            <w:pPr>
              <w:jc w:val="center"/>
              <w:rPr>
                <w:rFonts w:ascii="Times New Roman" w:hAnsi="Times New Roman"/>
                <w:sz w:val="24"/>
                <w:lang w:val="uk-UA"/>
              </w:rPr>
            </w:pPr>
            <w:r>
              <w:rPr>
                <w:rFonts w:ascii="Times New Roman" w:hAnsi="Times New Roman"/>
                <w:sz w:val="24"/>
                <w:lang w:val="uk-UA"/>
              </w:rPr>
              <w:t>виїзні</w:t>
            </w:r>
          </w:p>
        </w:tc>
        <w:tc>
          <w:tcPr>
            <w:tcW w:w="0" w:type="auto"/>
          </w:tcPr>
          <w:p w14:paraId="14495406"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5C292E70"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32E76ABC"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72F68549"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76643D4C" w14:textId="77777777" w:rsidR="00430922" w:rsidRDefault="00000000">
            <w:pPr>
              <w:jc w:val="center"/>
              <w:rPr>
                <w:rFonts w:ascii="Times New Roman" w:hAnsi="Times New Roman"/>
                <w:sz w:val="24"/>
                <w:lang w:val="uk-UA"/>
              </w:rPr>
            </w:pPr>
            <w:r>
              <w:rPr>
                <w:rFonts w:ascii="Times New Roman" w:hAnsi="Times New Roman"/>
                <w:sz w:val="24"/>
                <w:lang w:val="uk-UA"/>
              </w:rPr>
              <w:t>-</w:t>
            </w:r>
          </w:p>
        </w:tc>
      </w:tr>
      <w:tr w:rsidR="00430922" w14:paraId="4F388899" w14:textId="77777777">
        <w:tc>
          <w:tcPr>
            <w:tcW w:w="0" w:type="auto"/>
          </w:tcPr>
          <w:p w14:paraId="0ADE54A8" w14:textId="77777777" w:rsidR="00430922" w:rsidRDefault="00000000">
            <w:pPr>
              <w:jc w:val="center"/>
              <w:rPr>
                <w:rFonts w:ascii="Times New Roman" w:hAnsi="Times New Roman"/>
                <w:sz w:val="24"/>
                <w:lang w:val="uk-UA"/>
              </w:rPr>
            </w:pPr>
            <w:r>
              <w:rPr>
                <w:rFonts w:ascii="Times New Roman" w:hAnsi="Times New Roman"/>
                <w:sz w:val="24"/>
                <w:lang w:val="uk-UA"/>
              </w:rPr>
              <w:t xml:space="preserve">3. Підготовка, затвердження та опрацювання </w:t>
            </w:r>
            <w:r>
              <w:rPr>
                <w:rFonts w:ascii="Times New Roman" w:hAnsi="Times New Roman"/>
                <w:sz w:val="24"/>
                <w:lang w:val="uk-UA"/>
              </w:rPr>
              <w:lastRenderedPageBreak/>
              <w:t>одного окремого акта про порушення вимог регулювання</w:t>
            </w:r>
          </w:p>
        </w:tc>
        <w:tc>
          <w:tcPr>
            <w:tcW w:w="0" w:type="auto"/>
          </w:tcPr>
          <w:p w14:paraId="0E627033" w14:textId="77777777" w:rsidR="00430922" w:rsidRDefault="00000000">
            <w:pPr>
              <w:jc w:val="center"/>
              <w:rPr>
                <w:rFonts w:ascii="Times New Roman" w:hAnsi="Times New Roman"/>
                <w:sz w:val="24"/>
                <w:lang w:val="uk-UA"/>
              </w:rPr>
            </w:pPr>
            <w:r>
              <w:rPr>
                <w:rFonts w:ascii="Times New Roman" w:hAnsi="Times New Roman"/>
                <w:sz w:val="24"/>
                <w:lang w:val="uk-UA"/>
              </w:rPr>
              <w:lastRenderedPageBreak/>
              <w:t>1,5</w:t>
            </w:r>
          </w:p>
        </w:tc>
        <w:tc>
          <w:tcPr>
            <w:tcW w:w="0" w:type="auto"/>
          </w:tcPr>
          <w:p w14:paraId="71770CB9" w14:textId="77777777" w:rsidR="00430922" w:rsidRDefault="00000000">
            <w:pPr>
              <w:jc w:val="center"/>
              <w:rPr>
                <w:rFonts w:ascii="Times New Roman" w:hAnsi="Times New Roman"/>
                <w:sz w:val="24"/>
                <w:lang w:val="uk-UA"/>
              </w:rPr>
            </w:pPr>
            <w:r>
              <w:rPr>
                <w:rFonts w:ascii="Times New Roman" w:hAnsi="Times New Roman"/>
                <w:sz w:val="24"/>
                <w:lang w:val="uk-UA"/>
              </w:rPr>
              <w:t>100,89</w:t>
            </w:r>
          </w:p>
        </w:tc>
        <w:tc>
          <w:tcPr>
            <w:tcW w:w="0" w:type="auto"/>
          </w:tcPr>
          <w:p w14:paraId="7F2FF7E2" w14:textId="77777777" w:rsidR="00430922" w:rsidRDefault="00000000">
            <w:pPr>
              <w:jc w:val="center"/>
              <w:rPr>
                <w:rFonts w:ascii="Times New Roman" w:hAnsi="Times New Roman"/>
                <w:sz w:val="24"/>
                <w:lang w:val="uk-UA"/>
              </w:rPr>
            </w:pPr>
            <w:r>
              <w:rPr>
                <w:rFonts w:ascii="Times New Roman" w:hAnsi="Times New Roman"/>
                <w:sz w:val="24"/>
                <w:lang w:val="uk-UA"/>
              </w:rPr>
              <w:t>1</w:t>
            </w:r>
          </w:p>
        </w:tc>
        <w:tc>
          <w:tcPr>
            <w:tcW w:w="0" w:type="auto"/>
          </w:tcPr>
          <w:p w14:paraId="6E45A1D8" w14:textId="77777777" w:rsidR="00430922" w:rsidRDefault="00000000">
            <w:pPr>
              <w:jc w:val="center"/>
              <w:rPr>
                <w:rFonts w:ascii="Times New Roman" w:hAnsi="Times New Roman"/>
                <w:sz w:val="24"/>
                <w:lang w:val="uk-UA"/>
              </w:rPr>
            </w:pPr>
            <w:r>
              <w:rPr>
                <w:rFonts w:ascii="Times New Roman" w:hAnsi="Times New Roman"/>
                <w:sz w:val="24"/>
                <w:lang w:val="uk-UA"/>
              </w:rPr>
              <w:t>40</w:t>
            </w:r>
          </w:p>
        </w:tc>
        <w:tc>
          <w:tcPr>
            <w:tcW w:w="0" w:type="auto"/>
          </w:tcPr>
          <w:p w14:paraId="005EC858" w14:textId="77777777" w:rsidR="00430922" w:rsidRDefault="00000000">
            <w:pPr>
              <w:jc w:val="center"/>
              <w:rPr>
                <w:rFonts w:ascii="Times New Roman" w:hAnsi="Times New Roman"/>
                <w:sz w:val="24"/>
                <w:lang w:val="uk-UA"/>
              </w:rPr>
            </w:pPr>
            <w:r>
              <w:rPr>
                <w:rFonts w:ascii="Times New Roman" w:hAnsi="Times New Roman"/>
                <w:sz w:val="24"/>
                <w:lang w:val="uk-UA"/>
              </w:rPr>
              <w:t>4035,6</w:t>
            </w:r>
          </w:p>
        </w:tc>
      </w:tr>
      <w:tr w:rsidR="00430922" w14:paraId="6FFA4EB7" w14:textId="77777777">
        <w:tc>
          <w:tcPr>
            <w:tcW w:w="0" w:type="auto"/>
          </w:tcPr>
          <w:p w14:paraId="46DD2B00" w14:textId="77777777" w:rsidR="00430922" w:rsidRDefault="00000000">
            <w:pPr>
              <w:jc w:val="center"/>
              <w:rPr>
                <w:rFonts w:ascii="Times New Roman" w:hAnsi="Times New Roman"/>
                <w:sz w:val="24"/>
                <w:lang w:val="uk-UA"/>
              </w:rPr>
            </w:pPr>
            <w:r>
              <w:rPr>
                <w:rFonts w:ascii="Times New Roman" w:hAnsi="Times New Roman"/>
                <w:sz w:val="24"/>
                <w:lang w:val="uk-UA"/>
              </w:rPr>
              <w:t>4. Реалізація одного окремого рішення щодо порушення вимог регулювання</w:t>
            </w:r>
          </w:p>
        </w:tc>
        <w:tc>
          <w:tcPr>
            <w:tcW w:w="0" w:type="auto"/>
          </w:tcPr>
          <w:p w14:paraId="2DC789ED" w14:textId="77777777" w:rsidR="00430922" w:rsidRDefault="00000000">
            <w:pPr>
              <w:jc w:val="center"/>
              <w:rPr>
                <w:rFonts w:ascii="Times New Roman" w:hAnsi="Times New Roman"/>
                <w:sz w:val="24"/>
                <w:lang w:val="uk-UA"/>
              </w:rPr>
            </w:pPr>
            <w:r>
              <w:rPr>
                <w:rFonts w:ascii="Times New Roman" w:hAnsi="Times New Roman"/>
                <w:sz w:val="24"/>
                <w:lang w:val="uk-UA"/>
              </w:rPr>
              <w:t>2</w:t>
            </w:r>
          </w:p>
        </w:tc>
        <w:tc>
          <w:tcPr>
            <w:tcW w:w="0" w:type="auto"/>
          </w:tcPr>
          <w:p w14:paraId="5B03044A" w14:textId="77777777" w:rsidR="00430922" w:rsidRDefault="00000000">
            <w:pPr>
              <w:jc w:val="center"/>
              <w:rPr>
                <w:rFonts w:ascii="Times New Roman" w:hAnsi="Times New Roman"/>
                <w:sz w:val="24"/>
                <w:lang w:val="uk-UA"/>
              </w:rPr>
            </w:pPr>
            <w:r>
              <w:rPr>
                <w:rFonts w:ascii="Times New Roman" w:hAnsi="Times New Roman"/>
                <w:sz w:val="24"/>
                <w:lang w:val="uk-UA"/>
              </w:rPr>
              <w:t>134,52</w:t>
            </w:r>
          </w:p>
        </w:tc>
        <w:tc>
          <w:tcPr>
            <w:tcW w:w="0" w:type="auto"/>
          </w:tcPr>
          <w:p w14:paraId="1DC877C2" w14:textId="77777777" w:rsidR="00430922" w:rsidRDefault="00000000">
            <w:pPr>
              <w:jc w:val="center"/>
              <w:rPr>
                <w:rFonts w:ascii="Times New Roman" w:hAnsi="Times New Roman"/>
                <w:sz w:val="24"/>
                <w:lang w:val="uk-UA"/>
              </w:rPr>
            </w:pPr>
            <w:r>
              <w:rPr>
                <w:rFonts w:ascii="Times New Roman" w:hAnsi="Times New Roman"/>
                <w:sz w:val="24"/>
                <w:lang w:val="uk-UA"/>
              </w:rPr>
              <w:t>1</w:t>
            </w:r>
          </w:p>
        </w:tc>
        <w:tc>
          <w:tcPr>
            <w:tcW w:w="0" w:type="auto"/>
          </w:tcPr>
          <w:p w14:paraId="2EA6FE08" w14:textId="77777777" w:rsidR="00430922" w:rsidRDefault="00000000">
            <w:pPr>
              <w:jc w:val="center"/>
              <w:rPr>
                <w:rFonts w:ascii="Times New Roman" w:hAnsi="Times New Roman"/>
                <w:sz w:val="24"/>
                <w:lang w:val="uk-UA"/>
              </w:rPr>
            </w:pPr>
            <w:r>
              <w:rPr>
                <w:rFonts w:ascii="Times New Roman" w:hAnsi="Times New Roman"/>
                <w:sz w:val="24"/>
                <w:lang w:val="uk-UA"/>
              </w:rPr>
              <w:t>40</w:t>
            </w:r>
          </w:p>
        </w:tc>
        <w:tc>
          <w:tcPr>
            <w:tcW w:w="0" w:type="auto"/>
          </w:tcPr>
          <w:p w14:paraId="576C475B" w14:textId="77777777" w:rsidR="00430922" w:rsidRDefault="00000000">
            <w:pPr>
              <w:jc w:val="center"/>
              <w:rPr>
                <w:rFonts w:ascii="Times New Roman" w:hAnsi="Times New Roman"/>
                <w:sz w:val="24"/>
                <w:lang w:val="uk-UA"/>
              </w:rPr>
            </w:pPr>
            <w:r>
              <w:rPr>
                <w:rFonts w:ascii="Times New Roman" w:hAnsi="Times New Roman"/>
                <w:sz w:val="24"/>
                <w:lang w:val="uk-UA"/>
              </w:rPr>
              <w:t>5 380,8</w:t>
            </w:r>
          </w:p>
        </w:tc>
      </w:tr>
      <w:tr w:rsidR="00430922" w14:paraId="0C419F8E" w14:textId="77777777">
        <w:tc>
          <w:tcPr>
            <w:tcW w:w="0" w:type="auto"/>
          </w:tcPr>
          <w:p w14:paraId="70AAA875" w14:textId="77777777" w:rsidR="00430922" w:rsidRDefault="00000000">
            <w:pPr>
              <w:jc w:val="center"/>
              <w:rPr>
                <w:rFonts w:ascii="Times New Roman" w:hAnsi="Times New Roman"/>
                <w:sz w:val="24"/>
                <w:lang w:val="uk-UA"/>
              </w:rPr>
            </w:pPr>
            <w:r>
              <w:rPr>
                <w:rFonts w:ascii="Times New Roman" w:hAnsi="Times New Roman"/>
                <w:sz w:val="24"/>
                <w:lang w:val="uk-UA"/>
              </w:rPr>
              <w:t>5. Оскарження одного окремого рішення суб’єктами господарювання</w:t>
            </w:r>
          </w:p>
        </w:tc>
        <w:tc>
          <w:tcPr>
            <w:tcW w:w="0" w:type="auto"/>
          </w:tcPr>
          <w:p w14:paraId="5E0D7295" w14:textId="77777777" w:rsidR="00430922" w:rsidRDefault="00000000">
            <w:pPr>
              <w:jc w:val="center"/>
              <w:rPr>
                <w:rFonts w:ascii="Times New Roman" w:hAnsi="Times New Roman"/>
                <w:sz w:val="24"/>
                <w:lang w:val="uk-UA"/>
              </w:rPr>
            </w:pPr>
            <w:r>
              <w:rPr>
                <w:rFonts w:ascii="Times New Roman" w:hAnsi="Times New Roman"/>
                <w:sz w:val="24"/>
                <w:lang w:val="uk-UA"/>
              </w:rPr>
              <w:t>2</w:t>
            </w:r>
          </w:p>
        </w:tc>
        <w:tc>
          <w:tcPr>
            <w:tcW w:w="0" w:type="auto"/>
          </w:tcPr>
          <w:p w14:paraId="44F1B57D" w14:textId="77777777" w:rsidR="00430922" w:rsidRDefault="00000000">
            <w:pPr>
              <w:jc w:val="center"/>
              <w:rPr>
                <w:rFonts w:ascii="Times New Roman" w:hAnsi="Times New Roman"/>
                <w:sz w:val="24"/>
                <w:lang w:val="uk-UA"/>
              </w:rPr>
            </w:pPr>
            <w:r>
              <w:rPr>
                <w:rFonts w:ascii="Times New Roman" w:hAnsi="Times New Roman"/>
                <w:sz w:val="24"/>
                <w:lang w:val="uk-UA"/>
              </w:rPr>
              <w:t>134,52</w:t>
            </w:r>
          </w:p>
        </w:tc>
        <w:tc>
          <w:tcPr>
            <w:tcW w:w="0" w:type="auto"/>
          </w:tcPr>
          <w:p w14:paraId="07CC63D1" w14:textId="77777777" w:rsidR="00430922" w:rsidRDefault="00000000">
            <w:pPr>
              <w:jc w:val="center"/>
              <w:rPr>
                <w:rFonts w:ascii="Times New Roman" w:hAnsi="Times New Roman"/>
                <w:sz w:val="24"/>
                <w:lang w:val="uk-UA"/>
              </w:rPr>
            </w:pPr>
            <w:r>
              <w:rPr>
                <w:rFonts w:ascii="Times New Roman" w:hAnsi="Times New Roman"/>
                <w:sz w:val="24"/>
                <w:lang w:val="uk-UA"/>
              </w:rPr>
              <w:t>1</w:t>
            </w:r>
          </w:p>
        </w:tc>
        <w:tc>
          <w:tcPr>
            <w:tcW w:w="0" w:type="auto"/>
          </w:tcPr>
          <w:p w14:paraId="471DEF84" w14:textId="77777777" w:rsidR="00430922" w:rsidRDefault="00000000">
            <w:pPr>
              <w:jc w:val="center"/>
              <w:rPr>
                <w:rFonts w:ascii="Times New Roman" w:hAnsi="Times New Roman"/>
                <w:sz w:val="24"/>
                <w:lang w:val="uk-UA"/>
              </w:rPr>
            </w:pPr>
            <w:r>
              <w:rPr>
                <w:rFonts w:ascii="Times New Roman" w:hAnsi="Times New Roman"/>
                <w:sz w:val="24"/>
                <w:lang w:val="uk-UA"/>
              </w:rPr>
              <w:t>40</w:t>
            </w:r>
          </w:p>
        </w:tc>
        <w:tc>
          <w:tcPr>
            <w:tcW w:w="0" w:type="auto"/>
          </w:tcPr>
          <w:p w14:paraId="627A6355" w14:textId="77777777" w:rsidR="00430922" w:rsidRDefault="00000000">
            <w:pPr>
              <w:jc w:val="center"/>
              <w:rPr>
                <w:rFonts w:ascii="Times New Roman" w:hAnsi="Times New Roman"/>
                <w:sz w:val="24"/>
                <w:lang w:val="uk-UA"/>
              </w:rPr>
            </w:pPr>
            <w:r>
              <w:rPr>
                <w:rFonts w:ascii="Times New Roman" w:hAnsi="Times New Roman"/>
                <w:sz w:val="24"/>
                <w:lang w:val="uk-UA"/>
              </w:rPr>
              <w:t>5 380,8</w:t>
            </w:r>
          </w:p>
        </w:tc>
      </w:tr>
      <w:tr w:rsidR="00430922" w14:paraId="329F5933" w14:textId="77777777">
        <w:tc>
          <w:tcPr>
            <w:tcW w:w="0" w:type="auto"/>
          </w:tcPr>
          <w:p w14:paraId="4C92BEBC" w14:textId="77777777" w:rsidR="00430922" w:rsidRDefault="00000000">
            <w:pPr>
              <w:jc w:val="center"/>
              <w:rPr>
                <w:rFonts w:ascii="Times New Roman" w:hAnsi="Times New Roman"/>
                <w:sz w:val="24"/>
                <w:lang w:val="uk-UA"/>
              </w:rPr>
            </w:pPr>
            <w:r>
              <w:rPr>
                <w:rFonts w:ascii="Times New Roman" w:hAnsi="Times New Roman"/>
                <w:sz w:val="24"/>
                <w:lang w:val="uk-UA"/>
              </w:rPr>
              <w:t>6. Підготовка звітності за результатами регулювання</w:t>
            </w:r>
          </w:p>
        </w:tc>
        <w:tc>
          <w:tcPr>
            <w:tcW w:w="0" w:type="auto"/>
          </w:tcPr>
          <w:p w14:paraId="34AC1C52" w14:textId="77777777" w:rsidR="00430922" w:rsidRDefault="00000000">
            <w:pPr>
              <w:jc w:val="center"/>
              <w:rPr>
                <w:rFonts w:ascii="Times New Roman" w:hAnsi="Times New Roman"/>
                <w:sz w:val="24"/>
                <w:lang w:val="uk-UA"/>
              </w:rPr>
            </w:pPr>
            <w:r>
              <w:rPr>
                <w:rFonts w:ascii="Times New Roman" w:hAnsi="Times New Roman"/>
                <w:sz w:val="24"/>
                <w:lang w:val="uk-UA"/>
              </w:rPr>
              <w:t>2</w:t>
            </w:r>
          </w:p>
        </w:tc>
        <w:tc>
          <w:tcPr>
            <w:tcW w:w="0" w:type="auto"/>
          </w:tcPr>
          <w:p w14:paraId="49C75074" w14:textId="77777777" w:rsidR="00430922" w:rsidRDefault="00000000">
            <w:pPr>
              <w:jc w:val="center"/>
              <w:rPr>
                <w:rFonts w:ascii="Times New Roman" w:hAnsi="Times New Roman"/>
                <w:sz w:val="24"/>
                <w:lang w:val="uk-UA"/>
              </w:rPr>
            </w:pPr>
            <w:r>
              <w:rPr>
                <w:rFonts w:ascii="Times New Roman" w:hAnsi="Times New Roman"/>
                <w:sz w:val="24"/>
                <w:lang w:val="uk-UA"/>
              </w:rPr>
              <w:t>134,52</w:t>
            </w:r>
          </w:p>
        </w:tc>
        <w:tc>
          <w:tcPr>
            <w:tcW w:w="0" w:type="auto"/>
          </w:tcPr>
          <w:p w14:paraId="7E6643BC" w14:textId="77777777" w:rsidR="00430922" w:rsidRDefault="00000000">
            <w:pPr>
              <w:jc w:val="center"/>
              <w:rPr>
                <w:rFonts w:ascii="Times New Roman" w:hAnsi="Times New Roman"/>
                <w:sz w:val="24"/>
                <w:lang w:val="uk-UA"/>
              </w:rPr>
            </w:pPr>
            <w:r>
              <w:rPr>
                <w:rFonts w:ascii="Times New Roman" w:hAnsi="Times New Roman"/>
                <w:sz w:val="24"/>
                <w:lang w:val="uk-UA"/>
              </w:rPr>
              <w:t>1</w:t>
            </w:r>
          </w:p>
        </w:tc>
        <w:tc>
          <w:tcPr>
            <w:tcW w:w="0" w:type="auto"/>
          </w:tcPr>
          <w:p w14:paraId="34417C15" w14:textId="77777777" w:rsidR="00430922" w:rsidRDefault="00000000">
            <w:pPr>
              <w:jc w:val="center"/>
              <w:rPr>
                <w:rFonts w:ascii="Times New Roman" w:hAnsi="Times New Roman"/>
                <w:sz w:val="24"/>
                <w:lang w:val="uk-UA"/>
              </w:rPr>
            </w:pPr>
            <w:r>
              <w:rPr>
                <w:rFonts w:ascii="Times New Roman" w:hAnsi="Times New Roman"/>
                <w:sz w:val="24"/>
                <w:lang w:val="uk-UA"/>
              </w:rPr>
              <w:t>40</w:t>
            </w:r>
          </w:p>
        </w:tc>
        <w:tc>
          <w:tcPr>
            <w:tcW w:w="0" w:type="auto"/>
          </w:tcPr>
          <w:p w14:paraId="4F4203F9" w14:textId="77777777" w:rsidR="00430922" w:rsidRDefault="00000000">
            <w:pPr>
              <w:jc w:val="center"/>
              <w:rPr>
                <w:rFonts w:ascii="Times New Roman" w:hAnsi="Times New Roman"/>
                <w:sz w:val="24"/>
                <w:lang w:val="uk-UA"/>
              </w:rPr>
            </w:pPr>
            <w:r>
              <w:rPr>
                <w:rFonts w:ascii="Times New Roman" w:hAnsi="Times New Roman"/>
                <w:sz w:val="24"/>
                <w:lang w:val="uk-UA"/>
              </w:rPr>
              <w:t>5 380,8</w:t>
            </w:r>
          </w:p>
        </w:tc>
      </w:tr>
      <w:tr w:rsidR="00430922" w14:paraId="00AF771D" w14:textId="77777777">
        <w:tc>
          <w:tcPr>
            <w:tcW w:w="0" w:type="auto"/>
          </w:tcPr>
          <w:p w14:paraId="262DC907" w14:textId="77777777" w:rsidR="00430922" w:rsidRDefault="00000000">
            <w:pPr>
              <w:jc w:val="center"/>
              <w:rPr>
                <w:rFonts w:ascii="Times New Roman" w:hAnsi="Times New Roman"/>
                <w:sz w:val="24"/>
                <w:lang w:val="uk-UA"/>
              </w:rPr>
            </w:pPr>
            <w:r>
              <w:rPr>
                <w:rFonts w:ascii="Times New Roman" w:hAnsi="Times New Roman"/>
                <w:sz w:val="24"/>
                <w:lang w:val="uk-UA"/>
              </w:rPr>
              <w:t>7. Інші адміністративні процедури (уточнити):</w:t>
            </w:r>
          </w:p>
        </w:tc>
        <w:tc>
          <w:tcPr>
            <w:tcW w:w="0" w:type="auto"/>
          </w:tcPr>
          <w:p w14:paraId="4585E0AB"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3C08D2C4"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398A9074"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13D49786" w14:textId="77777777" w:rsidR="00430922" w:rsidRDefault="00000000">
            <w:pPr>
              <w:jc w:val="center"/>
              <w:rPr>
                <w:rFonts w:ascii="Times New Roman" w:hAnsi="Times New Roman"/>
                <w:sz w:val="24"/>
                <w:lang w:val="uk-UA"/>
              </w:rPr>
            </w:pPr>
            <w:r>
              <w:rPr>
                <w:rFonts w:ascii="Times New Roman" w:hAnsi="Times New Roman"/>
                <w:sz w:val="24"/>
                <w:lang w:val="uk-UA"/>
              </w:rPr>
              <w:t>-</w:t>
            </w:r>
          </w:p>
        </w:tc>
        <w:tc>
          <w:tcPr>
            <w:tcW w:w="0" w:type="auto"/>
          </w:tcPr>
          <w:p w14:paraId="5DC599F0" w14:textId="77777777" w:rsidR="00430922" w:rsidRDefault="00000000">
            <w:pPr>
              <w:jc w:val="center"/>
              <w:rPr>
                <w:rFonts w:ascii="Times New Roman" w:hAnsi="Times New Roman"/>
                <w:sz w:val="24"/>
                <w:lang w:val="uk-UA"/>
              </w:rPr>
            </w:pPr>
            <w:r>
              <w:rPr>
                <w:rFonts w:ascii="Times New Roman" w:hAnsi="Times New Roman"/>
                <w:sz w:val="24"/>
                <w:lang w:val="uk-UA"/>
              </w:rPr>
              <w:t>-</w:t>
            </w:r>
          </w:p>
        </w:tc>
      </w:tr>
      <w:tr w:rsidR="00430922" w14:paraId="7B666EE7" w14:textId="77777777">
        <w:tc>
          <w:tcPr>
            <w:tcW w:w="0" w:type="auto"/>
          </w:tcPr>
          <w:p w14:paraId="66794EBA" w14:textId="77777777" w:rsidR="00430922" w:rsidRDefault="00000000">
            <w:pPr>
              <w:jc w:val="center"/>
              <w:rPr>
                <w:rFonts w:ascii="Times New Roman" w:hAnsi="Times New Roman"/>
                <w:sz w:val="24"/>
                <w:lang w:val="uk-UA"/>
              </w:rPr>
            </w:pPr>
            <w:r>
              <w:rPr>
                <w:rFonts w:ascii="Times New Roman" w:hAnsi="Times New Roman"/>
                <w:sz w:val="24"/>
                <w:lang w:val="uk-UA"/>
              </w:rPr>
              <w:t>Разом за рік</w:t>
            </w:r>
          </w:p>
        </w:tc>
        <w:tc>
          <w:tcPr>
            <w:tcW w:w="0" w:type="auto"/>
          </w:tcPr>
          <w:p w14:paraId="56CE2271" w14:textId="77777777" w:rsidR="00430922" w:rsidRDefault="00000000">
            <w:pPr>
              <w:jc w:val="center"/>
              <w:rPr>
                <w:rFonts w:ascii="Times New Roman" w:hAnsi="Times New Roman"/>
                <w:sz w:val="24"/>
                <w:lang w:val="uk-UA"/>
              </w:rPr>
            </w:pPr>
            <w:r>
              <w:rPr>
                <w:sz w:val="24"/>
                <w:lang w:val="uk-UA"/>
              </w:rPr>
              <w:t>X</w:t>
            </w:r>
          </w:p>
        </w:tc>
        <w:tc>
          <w:tcPr>
            <w:tcW w:w="0" w:type="auto"/>
          </w:tcPr>
          <w:p w14:paraId="3D0C2B6F" w14:textId="77777777" w:rsidR="00430922" w:rsidRDefault="00000000">
            <w:pPr>
              <w:jc w:val="center"/>
              <w:rPr>
                <w:rFonts w:ascii="Times New Roman" w:hAnsi="Times New Roman"/>
                <w:sz w:val="24"/>
                <w:lang w:val="uk-UA"/>
              </w:rPr>
            </w:pPr>
            <w:r>
              <w:rPr>
                <w:sz w:val="24"/>
                <w:lang w:val="uk-UA"/>
              </w:rPr>
              <w:t>X</w:t>
            </w:r>
          </w:p>
        </w:tc>
        <w:tc>
          <w:tcPr>
            <w:tcW w:w="0" w:type="auto"/>
          </w:tcPr>
          <w:p w14:paraId="16EB07C2" w14:textId="77777777" w:rsidR="00430922" w:rsidRDefault="00000000">
            <w:pPr>
              <w:jc w:val="center"/>
              <w:rPr>
                <w:rFonts w:ascii="Times New Roman" w:hAnsi="Times New Roman"/>
                <w:sz w:val="24"/>
                <w:lang w:val="uk-UA"/>
              </w:rPr>
            </w:pPr>
            <w:r>
              <w:rPr>
                <w:sz w:val="24"/>
                <w:lang w:val="uk-UA"/>
              </w:rPr>
              <w:t>X</w:t>
            </w:r>
          </w:p>
        </w:tc>
        <w:tc>
          <w:tcPr>
            <w:tcW w:w="0" w:type="auto"/>
          </w:tcPr>
          <w:p w14:paraId="51956D6D" w14:textId="77777777" w:rsidR="00430922" w:rsidRDefault="00000000">
            <w:pPr>
              <w:jc w:val="center"/>
              <w:rPr>
                <w:rFonts w:ascii="Times New Roman" w:hAnsi="Times New Roman"/>
                <w:sz w:val="24"/>
                <w:lang w:val="uk-UA"/>
              </w:rPr>
            </w:pPr>
            <w:r>
              <w:rPr>
                <w:sz w:val="24"/>
                <w:lang w:val="uk-UA"/>
              </w:rPr>
              <w:t>X</w:t>
            </w:r>
          </w:p>
        </w:tc>
        <w:tc>
          <w:tcPr>
            <w:tcW w:w="0" w:type="auto"/>
          </w:tcPr>
          <w:p w14:paraId="6C93C12B" w14:textId="77777777" w:rsidR="00430922" w:rsidRDefault="00000000">
            <w:pPr>
              <w:jc w:val="center"/>
              <w:rPr>
                <w:rFonts w:ascii="Times New Roman" w:hAnsi="Times New Roman"/>
                <w:sz w:val="24"/>
                <w:lang w:val="uk-UA"/>
              </w:rPr>
            </w:pPr>
            <w:r>
              <w:rPr>
                <w:rFonts w:ascii="Times New Roman" w:hAnsi="Times New Roman"/>
                <w:sz w:val="24"/>
                <w:lang w:val="uk-UA"/>
              </w:rPr>
              <w:t>88 783,2</w:t>
            </w:r>
          </w:p>
        </w:tc>
      </w:tr>
      <w:tr w:rsidR="00430922" w14:paraId="1D98AD6D" w14:textId="77777777">
        <w:tc>
          <w:tcPr>
            <w:tcW w:w="0" w:type="auto"/>
          </w:tcPr>
          <w:p w14:paraId="23B97D7E" w14:textId="77777777" w:rsidR="00430922" w:rsidRDefault="00000000">
            <w:pPr>
              <w:jc w:val="center"/>
              <w:rPr>
                <w:rFonts w:ascii="Times New Roman" w:hAnsi="Times New Roman"/>
                <w:sz w:val="24"/>
                <w:lang w:val="uk-UA"/>
              </w:rPr>
            </w:pPr>
            <w:r>
              <w:rPr>
                <w:rFonts w:ascii="Times New Roman" w:hAnsi="Times New Roman"/>
                <w:sz w:val="24"/>
                <w:lang w:val="uk-UA"/>
              </w:rPr>
              <w:t>Сумарно за п’ять років</w:t>
            </w:r>
          </w:p>
        </w:tc>
        <w:tc>
          <w:tcPr>
            <w:tcW w:w="0" w:type="auto"/>
          </w:tcPr>
          <w:p w14:paraId="1E102211" w14:textId="77777777" w:rsidR="00430922" w:rsidRDefault="00000000">
            <w:pPr>
              <w:jc w:val="center"/>
              <w:rPr>
                <w:rFonts w:ascii="Times New Roman" w:hAnsi="Times New Roman"/>
                <w:sz w:val="24"/>
                <w:lang w:val="uk-UA"/>
              </w:rPr>
            </w:pPr>
            <w:r>
              <w:rPr>
                <w:sz w:val="24"/>
                <w:lang w:val="uk-UA"/>
              </w:rPr>
              <w:t>X</w:t>
            </w:r>
          </w:p>
        </w:tc>
        <w:tc>
          <w:tcPr>
            <w:tcW w:w="0" w:type="auto"/>
          </w:tcPr>
          <w:p w14:paraId="6BF7B11A" w14:textId="77777777" w:rsidR="00430922" w:rsidRDefault="00000000">
            <w:pPr>
              <w:jc w:val="center"/>
              <w:rPr>
                <w:rFonts w:ascii="Times New Roman" w:hAnsi="Times New Roman"/>
                <w:sz w:val="24"/>
                <w:lang w:val="uk-UA"/>
              </w:rPr>
            </w:pPr>
            <w:r>
              <w:rPr>
                <w:sz w:val="24"/>
                <w:lang w:val="uk-UA"/>
              </w:rPr>
              <w:t>X</w:t>
            </w:r>
          </w:p>
        </w:tc>
        <w:tc>
          <w:tcPr>
            <w:tcW w:w="0" w:type="auto"/>
          </w:tcPr>
          <w:p w14:paraId="185224DD" w14:textId="77777777" w:rsidR="00430922" w:rsidRDefault="00000000">
            <w:pPr>
              <w:jc w:val="center"/>
              <w:rPr>
                <w:rFonts w:ascii="Times New Roman" w:hAnsi="Times New Roman"/>
                <w:sz w:val="24"/>
                <w:lang w:val="uk-UA"/>
              </w:rPr>
            </w:pPr>
            <w:r>
              <w:rPr>
                <w:sz w:val="24"/>
                <w:lang w:val="uk-UA"/>
              </w:rPr>
              <w:t>X</w:t>
            </w:r>
          </w:p>
        </w:tc>
        <w:tc>
          <w:tcPr>
            <w:tcW w:w="0" w:type="auto"/>
          </w:tcPr>
          <w:p w14:paraId="225CF3D9" w14:textId="77777777" w:rsidR="00430922" w:rsidRDefault="00000000">
            <w:pPr>
              <w:jc w:val="center"/>
              <w:rPr>
                <w:rFonts w:ascii="Times New Roman" w:hAnsi="Times New Roman"/>
                <w:sz w:val="24"/>
                <w:lang w:val="uk-UA"/>
              </w:rPr>
            </w:pPr>
            <w:r>
              <w:rPr>
                <w:sz w:val="24"/>
                <w:lang w:val="uk-UA"/>
              </w:rPr>
              <w:t>X</w:t>
            </w:r>
          </w:p>
        </w:tc>
        <w:tc>
          <w:tcPr>
            <w:tcW w:w="0" w:type="auto"/>
          </w:tcPr>
          <w:p w14:paraId="6303A332" w14:textId="77777777" w:rsidR="00430922" w:rsidRDefault="00000000">
            <w:pPr>
              <w:jc w:val="center"/>
              <w:rPr>
                <w:rFonts w:ascii="Times New Roman" w:hAnsi="Times New Roman"/>
                <w:sz w:val="24"/>
                <w:lang w:val="uk-UA"/>
              </w:rPr>
            </w:pPr>
            <w:r>
              <w:rPr>
                <w:rFonts w:ascii="Times New Roman" w:hAnsi="Times New Roman"/>
                <w:sz w:val="24"/>
                <w:lang w:val="uk-UA"/>
              </w:rPr>
              <w:t>443 916</w:t>
            </w:r>
          </w:p>
        </w:tc>
      </w:tr>
    </w:tbl>
    <w:p w14:paraId="0541F688" w14:textId="77777777" w:rsidR="00430922" w:rsidRDefault="00000000">
      <w:pPr>
        <w:spacing w:after="0" w:line="240" w:lineRule="auto"/>
        <w:ind w:firstLine="720"/>
        <w:jc w:val="both"/>
        <w:rPr>
          <w:rFonts w:ascii="Times New Roman" w:hAnsi="Times New Roman"/>
          <w:sz w:val="24"/>
          <w:lang w:val="uk-UA"/>
        </w:rPr>
      </w:pPr>
      <w:r>
        <w:rPr>
          <w:rFonts w:ascii="Times New Roman" w:hAnsi="Times New Roman"/>
          <w:sz w:val="24"/>
          <w:lang w:val="uk-UA"/>
        </w:rPr>
        <w:t xml:space="preserve">* вартість н/г розрахована згідно з Схемою посадових окладів на посадах державної служби з урахуванням категорій, підкатегорій та рівнів державних органів у 2022 році, затвердженою постановою Кабінету Міністрів України від 18.01.2017 № 15 (1 н/г = 11300 : 21 : 8 = 67,26) </w:t>
      </w:r>
    </w:p>
    <w:p w14:paraId="4E9B8145" w14:textId="77777777" w:rsidR="00430922" w:rsidRDefault="00000000">
      <w:pPr>
        <w:spacing w:after="0" w:line="240" w:lineRule="auto"/>
        <w:ind w:firstLine="720"/>
        <w:jc w:val="both"/>
        <w:rPr>
          <w:rFonts w:ascii="Times New Roman" w:hAnsi="Times New Roman"/>
          <w:sz w:val="24"/>
          <w:lang w:val="uk-UA"/>
        </w:rPr>
      </w:pPr>
      <w:r>
        <w:rPr>
          <w:rFonts w:ascii="Times New Roman" w:hAnsi="Times New Roman"/>
          <w:sz w:val="24"/>
          <w:lang w:val="uk-UA"/>
        </w:rPr>
        <w:t>** інформація про кількість суб’єктів, що надаватимуть звіти є оціночною і отримана за рахунок аналізу інформації про включених до Реєстру суб’єктів надання послуг із психологічної реабілітації (станом на 16.08.2022 до Реєстру включено 23 таких суб’єктів, очікується, що у 2023 році їх кількість зросте до 40).</w:t>
      </w:r>
    </w:p>
    <w:p w14:paraId="3EBB00F1" w14:textId="77777777" w:rsidR="00430922" w:rsidRDefault="00430922">
      <w:pPr>
        <w:spacing w:after="0" w:line="240" w:lineRule="auto"/>
        <w:ind w:firstLine="720"/>
        <w:jc w:val="both"/>
        <w:rPr>
          <w:rFonts w:ascii="Times New Roman" w:hAnsi="Times New Roman"/>
          <w:sz w:val="26"/>
          <w:lang w:val="uk-UA"/>
        </w:rPr>
      </w:pPr>
    </w:p>
    <w:p w14:paraId="27200554" w14:textId="77777777" w:rsidR="00430922" w:rsidRDefault="00000000">
      <w:pPr>
        <w:spacing w:after="0" w:line="240" w:lineRule="auto"/>
        <w:ind w:firstLine="720"/>
        <w:jc w:val="both"/>
        <w:rPr>
          <w:rFonts w:ascii="Times New Roman" w:hAnsi="Times New Roman"/>
          <w:sz w:val="26"/>
          <w:lang w:val="uk-UA"/>
        </w:rPr>
      </w:pPr>
      <w:r>
        <w:rPr>
          <w:rFonts w:ascii="Times New Roman" w:hAnsi="Times New Roman"/>
          <w:sz w:val="26"/>
          <w:lang w:val="uk-UA"/>
        </w:rPr>
        <w:t>Для впровадження та виконання вимог регуляторного акта органам виконавчої влади не передбачається додаткового фінансування за рахунок коштів Державного бюджету України. Фінансування витрат здійснюватиметься в межах бюджетних призначень на утримання та провадження діяльності органів виконавчої влади.</w:t>
      </w:r>
    </w:p>
    <w:p w14:paraId="127930F3" w14:textId="5E8AEC7F" w:rsidR="00430922" w:rsidRDefault="00430922">
      <w:pPr>
        <w:spacing w:after="0" w:line="240" w:lineRule="auto"/>
        <w:ind w:firstLine="720"/>
        <w:jc w:val="both"/>
        <w:rPr>
          <w:rFonts w:ascii="Times New Roman" w:hAnsi="Times New Roman"/>
          <w:sz w:val="26"/>
          <w:lang w:val="uk-UA"/>
        </w:rPr>
      </w:pPr>
    </w:p>
    <w:p w14:paraId="129FADCA" w14:textId="77777777" w:rsidR="000E4FFD" w:rsidRDefault="000E4FFD">
      <w:pPr>
        <w:spacing w:after="0" w:line="240" w:lineRule="auto"/>
        <w:ind w:firstLine="720"/>
        <w:jc w:val="both"/>
        <w:rPr>
          <w:rFonts w:ascii="Times New Roman" w:hAnsi="Times New Roman"/>
          <w:sz w:val="26"/>
          <w:lang w:val="uk-UA"/>
        </w:rPr>
      </w:pPr>
    </w:p>
    <w:p w14:paraId="4E578E0D" w14:textId="3AF98E05" w:rsidR="00430922" w:rsidRDefault="00000000">
      <w:pPr>
        <w:spacing w:after="0" w:line="240" w:lineRule="auto"/>
        <w:jc w:val="both"/>
        <w:rPr>
          <w:rFonts w:ascii="Times New Roman" w:hAnsi="Times New Roman"/>
          <w:b/>
          <w:sz w:val="26"/>
          <w:lang w:val="uk-UA"/>
        </w:rPr>
      </w:pPr>
      <w:r>
        <w:rPr>
          <w:rFonts w:ascii="Times New Roman" w:hAnsi="Times New Roman"/>
          <w:b/>
          <w:sz w:val="26"/>
          <w:lang w:val="uk-UA"/>
        </w:rPr>
        <w:t>Міністр у справах ветеранів України</w:t>
      </w:r>
      <w:r>
        <w:rPr>
          <w:rFonts w:ascii="Times New Roman" w:hAnsi="Times New Roman"/>
          <w:b/>
          <w:sz w:val="26"/>
          <w:lang w:val="uk-UA"/>
        </w:rPr>
        <w:tab/>
      </w:r>
      <w:r w:rsidR="006F2BBC">
        <w:rPr>
          <w:rFonts w:ascii="Times New Roman" w:hAnsi="Times New Roman"/>
          <w:b/>
          <w:sz w:val="26"/>
          <w:lang w:val="uk-UA"/>
        </w:rPr>
        <w:tab/>
      </w:r>
      <w:r>
        <w:rPr>
          <w:rFonts w:ascii="Times New Roman" w:hAnsi="Times New Roman"/>
          <w:b/>
          <w:sz w:val="26"/>
          <w:lang w:val="uk-UA"/>
        </w:rPr>
        <w:tab/>
      </w:r>
      <w:r>
        <w:rPr>
          <w:rFonts w:ascii="Times New Roman" w:hAnsi="Times New Roman"/>
          <w:b/>
          <w:sz w:val="26"/>
          <w:lang w:val="uk-UA"/>
        </w:rPr>
        <w:tab/>
        <w:t>Юлія ЛАПУТІНА</w:t>
      </w:r>
    </w:p>
    <w:sectPr w:rsidR="00430922">
      <w:pgSz w:w="12240" w:h="15840"/>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6AF"/>
    <w:multiLevelType w:val="hybridMultilevel"/>
    <w:tmpl w:val="B066B666"/>
    <w:lvl w:ilvl="0" w:tplc="9762327E">
      <w:start w:val="4"/>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num w:numId="1" w16cid:durableId="167557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22"/>
    <w:rsid w:val="000E4FFD"/>
    <w:rsid w:val="00430922"/>
    <w:rsid w:val="006F2BBC"/>
    <w:rsid w:val="00707E09"/>
    <w:rsid w:val="0073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92F"/>
  <w15:docId w15:val="{74F16CE0-C29C-448A-BE5C-2E44C855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customStyle="1" w:styleId="2">
    <w:name w:val="Обычный2"/>
    <w:qFormat/>
    <w:pPr>
      <w:pBdr>
        <w:top w:val="nil"/>
        <w:left w:val="nil"/>
        <w:bottom w:val="nil"/>
        <w:right w:val="nil"/>
      </w:pBdr>
      <w:spacing w:after="0" w:line="100" w:lineRule="atLeast"/>
    </w:pPr>
    <w:rPr>
      <w:rFonts w:ascii="Times New Roman" w:hAnsi="Times New Roman"/>
      <w:lang w:val="ru-RU"/>
    </w:rPr>
  </w:style>
  <w:style w:type="paragraph" w:customStyle="1" w:styleId="1">
    <w:name w:val="Звичайний1"/>
    <w:qFormat/>
    <w:pPr>
      <w:pBdr>
        <w:top w:val="nil"/>
        <w:left w:val="nil"/>
        <w:bottom w:val="nil"/>
        <w:right w:val="nil"/>
      </w:pBdr>
      <w:spacing w:after="0" w:line="240" w:lineRule="auto"/>
    </w:pPr>
    <w:rPr>
      <w:rFonts w:ascii="Times New Roman" w:hAnsi="Times New Roman"/>
      <w:sz w:val="28"/>
      <w:lang w:val="ru-RU" w:eastAsia="ru-RU"/>
    </w:rPr>
  </w:style>
  <w:style w:type="paragraph" w:styleId="a3">
    <w:name w:val="List Paragraph"/>
    <w:basedOn w:val="a"/>
    <w:qFormat/>
    <w:pPr>
      <w:ind w:left="720"/>
      <w:contextualSpacing/>
    </w:pPr>
  </w:style>
  <w:style w:type="character" w:styleId="a4">
    <w:name w:val="line number"/>
    <w:basedOn w:val="a0"/>
    <w:semiHidden/>
  </w:style>
  <w:style w:type="character" w:styleId="a5">
    <w:name w:val="Hyperlink"/>
    <w:rPr>
      <w:color w:val="0000FF"/>
      <w:u w:val="single"/>
    </w:rPr>
  </w:style>
  <w:style w:type="character" w:customStyle="1" w:styleId="4">
    <w:name w:val="Основной шрифт абзаца4"/>
  </w:style>
  <w:style w:type="character" w:customStyle="1" w:styleId="10">
    <w:name w:val="Шрифт абзацу за замовчуванням1"/>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kp201285?ed=2020_12_16&amp;an=255" TargetMode="External"/><Relationship Id="rId5" Type="http://schemas.openxmlformats.org/officeDocument/2006/relationships/hyperlink" Target="https://ips.ligazakon.net/document/view/kp201285?ed=2020_12_16&amp;an=2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Кожемякіна Анастасія Геннадіївна</cp:lastModifiedBy>
  <cp:revision>8</cp:revision>
  <dcterms:created xsi:type="dcterms:W3CDTF">2022-07-27T16:35:00Z</dcterms:created>
  <dcterms:modified xsi:type="dcterms:W3CDTF">2022-09-22T12:05:00Z</dcterms:modified>
</cp:coreProperties>
</file>