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1643" w14:textId="7D634142" w:rsidR="009D7161" w:rsidRPr="00B01934" w:rsidRDefault="009D7161" w:rsidP="009D7161">
      <w:pPr>
        <w:pStyle w:val="a6"/>
        <w:shd w:val="clear" w:color="auto" w:fill="FFFFFF"/>
        <w:spacing w:before="0" w:beforeAutospacing="0" w:after="0" w:afterAutospacing="0"/>
        <w:ind w:left="6237"/>
        <w:rPr>
          <w:bCs/>
          <w:color w:val="303030"/>
          <w:sz w:val="22"/>
          <w:szCs w:val="22"/>
        </w:rPr>
      </w:pPr>
      <w:r w:rsidRPr="00B01934">
        <w:rPr>
          <w:bCs/>
          <w:color w:val="303030"/>
          <w:sz w:val="22"/>
          <w:szCs w:val="22"/>
        </w:rPr>
        <w:t xml:space="preserve">Додаток </w:t>
      </w:r>
      <w:r w:rsidR="00B575B7">
        <w:rPr>
          <w:bCs/>
          <w:color w:val="303030"/>
          <w:sz w:val="22"/>
          <w:szCs w:val="22"/>
        </w:rPr>
        <w:t>1</w:t>
      </w:r>
    </w:p>
    <w:p w14:paraId="10F8DC7D" w14:textId="749C22A2" w:rsidR="009D7161" w:rsidRPr="00B01934" w:rsidRDefault="009D7161" w:rsidP="009D7161">
      <w:pPr>
        <w:pStyle w:val="a6"/>
        <w:shd w:val="clear" w:color="auto" w:fill="FFFFFF"/>
        <w:spacing w:before="0" w:beforeAutospacing="0" w:after="0" w:afterAutospacing="0"/>
        <w:ind w:left="6237"/>
        <w:rPr>
          <w:bCs/>
          <w:color w:val="303030"/>
          <w:sz w:val="22"/>
          <w:szCs w:val="22"/>
        </w:rPr>
      </w:pPr>
      <w:r w:rsidRPr="00B01934">
        <w:rPr>
          <w:bCs/>
          <w:color w:val="303030"/>
          <w:sz w:val="22"/>
          <w:szCs w:val="22"/>
        </w:rPr>
        <w:t xml:space="preserve">до </w:t>
      </w:r>
      <w:r w:rsidR="001C4BDF" w:rsidRPr="00B01934">
        <w:rPr>
          <w:bCs/>
          <w:color w:val="303030"/>
          <w:sz w:val="22"/>
          <w:szCs w:val="22"/>
        </w:rPr>
        <w:t>оголошення</w:t>
      </w:r>
    </w:p>
    <w:p w14:paraId="60A978B8" w14:textId="77777777" w:rsidR="009D7161" w:rsidRDefault="009D7161" w:rsidP="00635AA7">
      <w:pPr>
        <w:pStyle w:val="a6"/>
        <w:shd w:val="clear" w:color="auto" w:fill="FFFFFF"/>
        <w:spacing w:before="240" w:beforeAutospacing="0" w:after="0" w:afterAutospacing="0"/>
        <w:jc w:val="center"/>
        <w:rPr>
          <w:b/>
          <w:color w:val="303030"/>
          <w:sz w:val="28"/>
          <w:szCs w:val="28"/>
        </w:rPr>
      </w:pPr>
    </w:p>
    <w:p w14:paraId="0076ADB3" w14:textId="66763A5A" w:rsidR="00635AA7" w:rsidRDefault="00635AA7" w:rsidP="00635AA7">
      <w:pPr>
        <w:pStyle w:val="a6"/>
        <w:shd w:val="clear" w:color="auto" w:fill="FFFFFF"/>
        <w:spacing w:before="240" w:beforeAutospacing="0" w:after="0" w:afterAutospacing="0"/>
        <w:jc w:val="center"/>
        <w:rPr>
          <w:b/>
          <w:color w:val="303030"/>
          <w:sz w:val="28"/>
          <w:szCs w:val="28"/>
        </w:rPr>
      </w:pPr>
      <w:r>
        <w:rPr>
          <w:b/>
          <w:color w:val="303030"/>
          <w:sz w:val="28"/>
          <w:szCs w:val="28"/>
        </w:rPr>
        <w:t>ОПИС ВАКАНТНОЇ ПОСАДИ</w:t>
      </w:r>
    </w:p>
    <w:p w14:paraId="6668D0F6" w14:textId="27C65987" w:rsidR="00160492" w:rsidRPr="00D26B03" w:rsidRDefault="00635AA7" w:rsidP="00571850">
      <w:pPr>
        <w:pStyle w:val="a6"/>
        <w:shd w:val="clear" w:color="auto" w:fill="FFFFFF"/>
        <w:spacing w:before="240" w:beforeAutospacing="0" w:after="0" w:afterAutospacing="0"/>
        <w:jc w:val="center"/>
        <w:rPr>
          <w:rStyle w:val="fontstyle01"/>
          <w:b w:val="0"/>
          <w:sz w:val="28"/>
          <w:szCs w:val="28"/>
        </w:rPr>
      </w:pPr>
      <w:r w:rsidRPr="00D26B03">
        <w:rPr>
          <w:rStyle w:val="fontstyle01"/>
          <w:b w:val="0"/>
          <w:sz w:val="28"/>
          <w:szCs w:val="28"/>
        </w:rPr>
        <w:t xml:space="preserve">державної служби категорії </w:t>
      </w:r>
      <w:r w:rsidR="000462B8" w:rsidRPr="00D26B03">
        <w:rPr>
          <w:rStyle w:val="fontstyle01"/>
          <w:b w:val="0"/>
          <w:sz w:val="28"/>
          <w:szCs w:val="28"/>
        </w:rPr>
        <w:t>«В</w:t>
      </w:r>
      <w:r w:rsidRPr="00D26B03">
        <w:rPr>
          <w:rStyle w:val="fontstyle01"/>
          <w:b w:val="0"/>
          <w:sz w:val="28"/>
          <w:szCs w:val="28"/>
        </w:rPr>
        <w:t>»</w:t>
      </w:r>
      <w:r w:rsidRPr="00D26B03">
        <w:rPr>
          <w:b/>
          <w:sz w:val="28"/>
          <w:szCs w:val="28"/>
        </w:rPr>
        <w:t xml:space="preserve"> </w:t>
      </w:r>
      <w:r w:rsidR="00D26B03" w:rsidRPr="00D26B03">
        <w:rPr>
          <w:rStyle w:val="fontstyle01"/>
          <w:b w:val="0"/>
          <w:sz w:val="28"/>
          <w:szCs w:val="28"/>
        </w:rPr>
        <w:t xml:space="preserve">державного експерта експертної групи з питань соціальної підтримки Директорату соціального захисту </w:t>
      </w:r>
      <w:r w:rsidRPr="00D26B03">
        <w:rPr>
          <w:rStyle w:val="fontstyle01"/>
          <w:b w:val="0"/>
          <w:sz w:val="28"/>
          <w:szCs w:val="28"/>
        </w:rPr>
        <w:t xml:space="preserve">Міністерства у справах ветеранів України </w:t>
      </w:r>
    </w:p>
    <w:tbl>
      <w:tblPr>
        <w:tblStyle w:val="a7"/>
        <w:tblW w:w="0" w:type="auto"/>
        <w:tblLook w:val="04A0" w:firstRow="1" w:lastRow="0" w:firstColumn="1" w:lastColumn="0" w:noHBand="0" w:noVBand="1"/>
      </w:tblPr>
      <w:tblGrid>
        <w:gridCol w:w="426"/>
        <w:gridCol w:w="4454"/>
        <w:gridCol w:w="4748"/>
      </w:tblGrid>
      <w:tr w:rsidR="00635AA7" w:rsidRPr="00FF68BB" w14:paraId="5C3433DB" w14:textId="77777777" w:rsidTr="00B01934">
        <w:tc>
          <w:tcPr>
            <w:tcW w:w="9628" w:type="dxa"/>
            <w:gridSpan w:val="3"/>
          </w:tcPr>
          <w:p w14:paraId="5E2568D9" w14:textId="77777777" w:rsidR="00635AA7" w:rsidRPr="00FF68BB" w:rsidRDefault="00635AA7" w:rsidP="00635AA7">
            <w:pPr>
              <w:jc w:val="center"/>
              <w:rPr>
                <w:sz w:val="28"/>
                <w:szCs w:val="28"/>
              </w:rPr>
            </w:pPr>
            <w:r w:rsidRPr="00FF68BB">
              <w:rPr>
                <w:rStyle w:val="fontstyle01"/>
                <w:b w:val="0"/>
                <w:sz w:val="28"/>
                <w:szCs w:val="28"/>
              </w:rPr>
              <w:t>Загальні умови</w:t>
            </w:r>
          </w:p>
        </w:tc>
      </w:tr>
      <w:tr w:rsidR="00303446" w14:paraId="15A380A6" w14:textId="77777777" w:rsidTr="00B01934">
        <w:tc>
          <w:tcPr>
            <w:tcW w:w="4880" w:type="dxa"/>
            <w:gridSpan w:val="2"/>
          </w:tcPr>
          <w:p w14:paraId="59B64F65" w14:textId="77777777" w:rsidR="00303446" w:rsidRPr="0056123E" w:rsidRDefault="00303446" w:rsidP="00303446">
            <w:pPr>
              <w:rPr>
                <w:rFonts w:ascii="Times New Roman" w:eastAsia="Times New Roman" w:hAnsi="Times New Roman" w:cs="Times New Roman"/>
                <w:sz w:val="28"/>
                <w:szCs w:val="28"/>
              </w:rPr>
            </w:pPr>
            <w:r w:rsidRPr="0056123E">
              <w:rPr>
                <w:rFonts w:ascii="Times New Roman" w:eastAsia="Times New Roman" w:hAnsi="Times New Roman" w:cs="Times New Roman"/>
                <w:sz w:val="28"/>
                <w:szCs w:val="28"/>
              </w:rPr>
              <w:t>Посадові обов’язки</w:t>
            </w:r>
          </w:p>
        </w:tc>
        <w:tc>
          <w:tcPr>
            <w:tcW w:w="4748" w:type="dxa"/>
          </w:tcPr>
          <w:p w14:paraId="4386CBB4" w14:textId="02CC59AA" w:rsidR="003645A3" w:rsidRDefault="003645A3" w:rsidP="00D26B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Здійснення постійного аналізу стану справ у сфері компетенції Експертної групи, включаючи політичні, правові, фінансові, організаційні та інші аспекти, аналізує існуючі та виявляє нові проблеми у сфері компетенції Експертної групи на основі дослідження статистичних даних, </w:t>
            </w:r>
            <w:r w:rsidR="00A26963">
              <w:rPr>
                <w:rFonts w:ascii="Times New Roman" w:eastAsia="Times New Roman" w:hAnsi="Times New Roman" w:cs="Times New Roman"/>
                <w:sz w:val="28"/>
                <w:szCs w:val="28"/>
              </w:rPr>
              <w:t>звернень державних органів та органів місцевого самоврядування, звернень громадян, інших джерел інформації.</w:t>
            </w:r>
          </w:p>
          <w:p w14:paraId="411A1116" w14:textId="77777777" w:rsidR="00A26963" w:rsidRDefault="00A26963" w:rsidP="00D26B03">
            <w:pPr>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Формування пропозицій щодо альтернативних варіантів розвязання виявлених проблем, здійснює оцінку їх переваг та ризиків, враховуючи сучасні європейські стандарти соціальної підтримки населення та міжнародний досвід у сфері надання соціальних послуг.</w:t>
            </w:r>
          </w:p>
          <w:p w14:paraId="123DDBCC" w14:textId="6B1258CC" w:rsidR="00A26963" w:rsidRDefault="00A26963" w:rsidP="00A269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D26B03">
              <w:rPr>
                <w:rFonts w:ascii="Times New Roman" w:eastAsia="Times New Roman" w:hAnsi="Times New Roman" w:cs="Times New Roman"/>
                <w:sz w:val="28"/>
                <w:szCs w:val="28"/>
              </w:rPr>
              <w:t>Розробка пропозиції щодо формування державної політики за результатами проведеного аналізу стану справ у сфері компетенції Експертної групи, узгодження інтересів, цілей та шляхів розв’язання існуючих  проблем, готує відповідні проекти документів державної політики, аналітичні, інформаційні, довідкові та інші матеріали та подає їх на розгляд керівництва Міністерства.</w:t>
            </w:r>
          </w:p>
          <w:p w14:paraId="39E573D5" w14:textId="1F540D3E" w:rsidR="00A26963" w:rsidRDefault="00A26963" w:rsidP="00A269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3D4AB3">
              <w:rPr>
                <w:rFonts w:ascii="Times New Roman" w:eastAsia="Times New Roman" w:hAnsi="Times New Roman" w:cs="Times New Roman"/>
                <w:sz w:val="28"/>
                <w:szCs w:val="28"/>
              </w:rPr>
              <w:t xml:space="preserve">Здійснення аналізу нормативно-правових актів у сфері компетенції </w:t>
            </w:r>
            <w:r w:rsidR="003D4AB3">
              <w:rPr>
                <w:rFonts w:ascii="Times New Roman" w:eastAsia="Times New Roman" w:hAnsi="Times New Roman" w:cs="Times New Roman"/>
                <w:sz w:val="28"/>
                <w:szCs w:val="28"/>
              </w:rPr>
              <w:lastRenderedPageBreak/>
              <w:t>Експертної групи з метою виявлення прогалин та неузгодженостей, узагальнює практику застосування законодавства, розробляє пропозиції щодо його вдосконалення та готує відповідні проекти законодавчих актів, актів Президента України та Кабінету Міністрів України, актів Міністерства.</w:t>
            </w:r>
          </w:p>
          <w:p w14:paraId="768CBBA4" w14:textId="764770D2" w:rsidR="003D4AB3" w:rsidRDefault="003D4AB3" w:rsidP="00A26963">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26B03">
              <w:rPr>
                <w:rFonts w:ascii="Times New Roman" w:eastAsia="Times New Roman" w:hAnsi="Times New Roman" w:cs="Times New Roman"/>
                <w:sz w:val="28"/>
                <w:szCs w:val="28"/>
              </w:rPr>
              <w:t xml:space="preserve"> Участь у розробці проектів наказів Мінветеранів, законів та інших нормативно-правових актів.</w:t>
            </w:r>
          </w:p>
          <w:p w14:paraId="2DC028A5" w14:textId="3CF3297A" w:rsidR="003D4AB3" w:rsidRDefault="003D4AB3" w:rsidP="00A26963">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C4664" w:rsidRPr="00D26B03">
              <w:rPr>
                <w:rFonts w:ascii="Times New Roman" w:eastAsia="Times New Roman" w:hAnsi="Times New Roman" w:cs="Times New Roman"/>
                <w:sz w:val="28"/>
                <w:szCs w:val="28"/>
              </w:rPr>
              <w:t xml:space="preserve"> Участь у підготовці висновків і пропозицій до проектів законів, інших актів законодавства, які подаються Кабінетові Міністрів України, та проектів законів, внесених на розгляд Верховної Ради України іншими суб’єктами права законодавчої ініціативи.</w:t>
            </w:r>
          </w:p>
          <w:p w14:paraId="578AFE2B" w14:textId="31EBF0C0" w:rsidR="008C4664" w:rsidRDefault="008C4664" w:rsidP="00A26963">
            <w:pPr>
              <w:rPr>
                <w:rFonts w:ascii="Times New Roman" w:eastAsia="Times New Roman" w:hAnsi="Times New Roman" w:cs="Times New Roman"/>
                <w:sz w:val="28"/>
                <w:szCs w:val="28"/>
              </w:rPr>
            </w:pPr>
            <w:r>
              <w:rPr>
                <w:rFonts w:ascii="Times New Roman" w:eastAsia="Times New Roman" w:hAnsi="Times New Roman" w:cs="Times New Roman"/>
                <w:sz w:val="28"/>
                <w:szCs w:val="28"/>
              </w:rPr>
              <w:t>7. Підготовка узагальненого висновку про результати виконання державних цільових програм у частині проведення оцінки наслідків їх виконання щодо забезпечення прав та інтересів ветеранів та членів сімей ветеранів.</w:t>
            </w:r>
          </w:p>
          <w:p w14:paraId="4210B2AD" w14:textId="25EA140A" w:rsidR="00303446" w:rsidRPr="00D26B03" w:rsidRDefault="008C4664" w:rsidP="008C466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Виконання функцій користувача Єдиного державного реєстру ветеранів війни щодо перегляду, моніторингу, звітності, модернізації та корегування </w:t>
            </w:r>
            <w:r w:rsidR="00E0263D">
              <w:rPr>
                <w:rFonts w:ascii="Times New Roman" w:eastAsia="Times New Roman" w:hAnsi="Times New Roman" w:cs="Times New Roman"/>
                <w:sz w:val="28"/>
                <w:szCs w:val="28"/>
              </w:rPr>
              <w:t>даних відповідно до компетенції експертної групи.</w:t>
            </w:r>
          </w:p>
        </w:tc>
      </w:tr>
      <w:tr w:rsidR="00303446" w14:paraId="480BEA68" w14:textId="77777777" w:rsidTr="00B01934">
        <w:tc>
          <w:tcPr>
            <w:tcW w:w="4880" w:type="dxa"/>
            <w:gridSpan w:val="2"/>
          </w:tcPr>
          <w:p w14:paraId="3C8B2610"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lastRenderedPageBreak/>
              <w:t>Умови оплати праці</w:t>
            </w:r>
          </w:p>
        </w:tc>
        <w:tc>
          <w:tcPr>
            <w:tcW w:w="4748" w:type="dxa"/>
          </w:tcPr>
          <w:p w14:paraId="414011C6" w14:textId="77777777" w:rsidR="00303446" w:rsidRPr="0056123E" w:rsidRDefault="00303446" w:rsidP="00303446">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посадовий оклад – 11 300 грн.,</w:t>
            </w:r>
          </w:p>
          <w:p w14:paraId="51F6AA3A" w14:textId="77777777" w:rsidR="00303446" w:rsidRPr="0056123E" w:rsidRDefault="00303446" w:rsidP="00303446">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надбавки, доплати та компенсації відповідно до статті 52 Закону  України «Про державну службу»; </w:t>
            </w:r>
          </w:p>
          <w:p w14:paraId="7EED4FFA" w14:textId="77777777" w:rsidR="00303446" w:rsidRPr="0056123E" w:rsidRDefault="00303446" w:rsidP="00303446">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 </w:t>
            </w:r>
          </w:p>
          <w:p w14:paraId="71223303"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за наявності достатнього фонду </w:t>
            </w:r>
            <w:r w:rsidRPr="0056123E">
              <w:rPr>
                <w:rFonts w:ascii="Times New Roman" w:hAnsi="Times New Roman" w:cs="Times New Roman"/>
                <w:sz w:val="28"/>
                <w:szCs w:val="28"/>
                <w:lang w:val="ru-RU"/>
              </w:rPr>
              <w:lastRenderedPageBreak/>
              <w:t>оплати праці – премія.</w:t>
            </w:r>
          </w:p>
        </w:tc>
      </w:tr>
      <w:tr w:rsidR="00303446" w14:paraId="40C9C8E7" w14:textId="77777777" w:rsidTr="00B01934">
        <w:tc>
          <w:tcPr>
            <w:tcW w:w="4880" w:type="dxa"/>
            <w:gridSpan w:val="2"/>
          </w:tcPr>
          <w:p w14:paraId="0C2C7C6A"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lastRenderedPageBreak/>
              <w:t>Інформація про строковість призначення на посаду</w:t>
            </w:r>
          </w:p>
        </w:tc>
        <w:tc>
          <w:tcPr>
            <w:tcW w:w="4748" w:type="dxa"/>
          </w:tcPr>
          <w:p w14:paraId="1CD8B5F9" w14:textId="5DF7DE36" w:rsidR="00303446" w:rsidRPr="0056123E" w:rsidRDefault="00303446" w:rsidP="00303446">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Строково</w:t>
            </w:r>
            <w:r w:rsidR="00F64C4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6123E">
              <w:rPr>
                <w:rFonts w:ascii="Times New Roman" w:hAnsi="Times New Roman" w:cs="Times New Roman"/>
                <w:sz w:val="28"/>
                <w:szCs w:val="28"/>
                <w:lang w:val="ru-RU"/>
              </w:rPr>
              <w:t>до призначення на цю посаду переможця конкурсу або до спливу дванадцяти місяців після припинення чи скасування воєнного стану</w:t>
            </w:r>
          </w:p>
        </w:tc>
      </w:tr>
      <w:tr w:rsidR="00303446" w14:paraId="5AF25AB9" w14:textId="77777777" w:rsidTr="00B01934">
        <w:tc>
          <w:tcPr>
            <w:tcW w:w="4880" w:type="dxa"/>
            <w:gridSpan w:val="2"/>
          </w:tcPr>
          <w:p w14:paraId="182D2FA5"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4748" w:type="dxa"/>
          </w:tcPr>
          <w:p w14:paraId="18898BBC" w14:textId="77777777" w:rsidR="00303446" w:rsidRPr="0056123E" w:rsidRDefault="00303446" w:rsidP="00303446">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1) заява; </w:t>
            </w:r>
          </w:p>
          <w:p w14:paraId="6FC26703" w14:textId="77777777" w:rsidR="00303446" w:rsidRPr="0056123E" w:rsidRDefault="00303446" w:rsidP="00303446">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2) резюме довільної форми або резюме за формою згідно з додатком 21 Порядку проведення конкурсу на зайняття посад державної служби,  затвердженого постановою КМУ від 25 березня 2016 року № 246; </w:t>
            </w:r>
          </w:p>
          <w:p w14:paraId="0FF6D561" w14:textId="77777777" w:rsidR="00303446" w:rsidRPr="0056123E" w:rsidRDefault="00303446" w:rsidP="00303446">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3) заповнена особова картка встановленого зразка, затверджена наказом  Національного агентства України з питань державної служби 19 травня 2020 року № 77-20; </w:t>
            </w:r>
          </w:p>
          <w:p w14:paraId="0B64A450" w14:textId="77777777" w:rsidR="00303446" w:rsidRPr="0056123E" w:rsidRDefault="00303446" w:rsidP="00303446">
            <w:pPr>
              <w:widowControl w:val="0"/>
              <w:pBdr>
                <w:top w:val="nil"/>
                <w:left w:val="nil"/>
                <w:bottom w:val="nil"/>
                <w:right w:val="nil"/>
                <w:between w:val="nil"/>
              </w:pBdr>
              <w:ind w:hanging="7"/>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4) документи, що підтверджують наявність громадянства України; 5) документи, що підтверджують освіту та досвід роботи. </w:t>
            </w:r>
          </w:p>
          <w:p w14:paraId="2F003BC6" w14:textId="77777777" w:rsidR="00303446" w:rsidRPr="0056123E" w:rsidRDefault="00303446" w:rsidP="00303446">
            <w:pPr>
              <w:widowControl w:val="0"/>
              <w:pBdr>
                <w:top w:val="nil"/>
                <w:left w:val="nil"/>
                <w:bottom w:val="nil"/>
                <w:right w:val="nil"/>
                <w:between w:val="nil"/>
              </w:pBdr>
              <w:ind w:hanging="7"/>
              <w:rPr>
                <w:rFonts w:ascii="Times New Roman" w:hAnsi="Times New Roman" w:cs="Times New Roman"/>
                <w:sz w:val="28"/>
                <w:szCs w:val="28"/>
                <w:lang w:val="ru-RU"/>
              </w:rPr>
            </w:pPr>
          </w:p>
          <w:p w14:paraId="3701E2F0"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Документи подаються:</w:t>
            </w:r>
          </w:p>
          <w:p w14:paraId="59DD5B30" w14:textId="0914B668" w:rsidR="00303446" w:rsidRPr="00303446"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 електронну пошту </w:t>
            </w:r>
            <w:hyperlink r:id="rId6" w:history="1">
              <w:r w:rsidRPr="00303446">
                <w:rPr>
                  <w:rFonts w:ascii="Times New Roman" w:hAnsi="Times New Roman" w:cs="Times New Roman"/>
                  <w:sz w:val="28"/>
                  <w:szCs w:val="28"/>
                  <w:lang w:val="ru-RU"/>
                </w:rPr>
                <w:t>career@mva.gov.ua</w:t>
              </w:r>
            </w:hyperlink>
          </w:p>
          <w:p w14:paraId="1C002CB6" w14:textId="77777777" w:rsidR="00303446" w:rsidRPr="00303446" w:rsidRDefault="00303446" w:rsidP="00303446">
            <w:pPr>
              <w:widowControl w:val="0"/>
              <w:rPr>
                <w:rFonts w:ascii="Times New Roman" w:hAnsi="Times New Roman" w:cs="Times New Roman"/>
                <w:sz w:val="28"/>
                <w:szCs w:val="28"/>
                <w:lang w:val="ru-RU"/>
              </w:rPr>
            </w:pPr>
          </w:p>
          <w:p w14:paraId="1C5270CC" w14:textId="77777777" w:rsidR="00303446" w:rsidRPr="00303446" w:rsidRDefault="00303446" w:rsidP="00303446">
            <w:pPr>
              <w:widowControl w:val="0"/>
              <w:rPr>
                <w:rFonts w:ascii="Times New Roman" w:hAnsi="Times New Roman" w:cs="Times New Roman"/>
                <w:sz w:val="28"/>
                <w:szCs w:val="28"/>
                <w:lang w:val="ru-RU"/>
              </w:rPr>
            </w:pPr>
            <w:r w:rsidRPr="00303446">
              <w:rPr>
                <w:rFonts w:ascii="Times New Roman" w:hAnsi="Times New Roman" w:cs="Times New Roman"/>
                <w:sz w:val="28"/>
                <w:szCs w:val="28"/>
                <w:lang w:val="ru-RU"/>
              </w:rPr>
              <w:t xml:space="preserve">Строк подання документів: </w:t>
            </w:r>
          </w:p>
          <w:p w14:paraId="6BA581E5" w14:textId="27DD5004" w:rsidR="00C3582C" w:rsidRPr="000E5959" w:rsidRDefault="00303446" w:rsidP="00303446">
            <w:pPr>
              <w:widowControl w:val="0"/>
              <w:rPr>
                <w:rFonts w:ascii="Times New Roman" w:hAnsi="Times New Roman" w:cs="Times New Roman"/>
                <w:sz w:val="28"/>
                <w:szCs w:val="28"/>
                <w:lang w:val="ru-RU"/>
              </w:rPr>
            </w:pPr>
            <w:r w:rsidRPr="000E5959">
              <w:rPr>
                <w:rFonts w:ascii="Times New Roman" w:hAnsi="Times New Roman" w:cs="Times New Roman"/>
                <w:sz w:val="28"/>
                <w:szCs w:val="28"/>
                <w:lang w:val="ru-RU"/>
              </w:rPr>
              <w:t xml:space="preserve">до </w:t>
            </w:r>
            <w:r w:rsidR="000E5959" w:rsidRPr="000E5959">
              <w:rPr>
                <w:rFonts w:ascii="Times New Roman" w:hAnsi="Times New Roman" w:cs="Times New Roman"/>
                <w:sz w:val="28"/>
                <w:szCs w:val="28"/>
                <w:lang w:val="ru-RU"/>
              </w:rPr>
              <w:t>01</w:t>
            </w:r>
            <w:r w:rsidR="00280EE7" w:rsidRPr="000E5959">
              <w:rPr>
                <w:rFonts w:ascii="Times New Roman" w:hAnsi="Times New Roman" w:cs="Times New Roman"/>
                <w:sz w:val="28"/>
                <w:szCs w:val="28"/>
                <w:lang w:val="ru-RU"/>
              </w:rPr>
              <w:t xml:space="preserve"> </w:t>
            </w:r>
            <w:r w:rsidR="000E5959" w:rsidRPr="000E5959">
              <w:rPr>
                <w:rFonts w:ascii="Times New Roman" w:hAnsi="Times New Roman" w:cs="Times New Roman"/>
                <w:sz w:val="28"/>
                <w:szCs w:val="28"/>
                <w:lang w:val="ru-RU"/>
              </w:rPr>
              <w:t>серпня</w:t>
            </w:r>
            <w:r w:rsidRPr="000E5959">
              <w:rPr>
                <w:rFonts w:ascii="Times New Roman" w:hAnsi="Times New Roman" w:cs="Times New Roman"/>
                <w:sz w:val="28"/>
                <w:szCs w:val="28"/>
                <w:lang w:val="ru-RU"/>
              </w:rPr>
              <w:t xml:space="preserve"> 2022 року </w:t>
            </w:r>
          </w:p>
          <w:p w14:paraId="4DC007A6" w14:textId="5AF22156" w:rsidR="00303446" w:rsidRPr="0056123E" w:rsidRDefault="00303446" w:rsidP="00303446">
            <w:pPr>
              <w:widowControl w:val="0"/>
              <w:rPr>
                <w:rFonts w:ascii="Times New Roman" w:hAnsi="Times New Roman" w:cs="Times New Roman"/>
                <w:sz w:val="28"/>
                <w:szCs w:val="28"/>
                <w:lang w:val="ru-RU"/>
              </w:rPr>
            </w:pPr>
            <w:r w:rsidRPr="000E5959">
              <w:rPr>
                <w:rFonts w:ascii="Times New Roman" w:hAnsi="Times New Roman" w:cs="Times New Roman"/>
                <w:sz w:val="28"/>
                <w:szCs w:val="28"/>
                <w:lang w:val="ru-RU"/>
              </w:rPr>
              <w:t xml:space="preserve">(до </w:t>
            </w:r>
            <w:r w:rsidR="000E5959" w:rsidRPr="000E5959">
              <w:rPr>
                <w:rFonts w:ascii="Times New Roman" w:hAnsi="Times New Roman" w:cs="Times New Roman"/>
                <w:sz w:val="28"/>
                <w:szCs w:val="28"/>
                <w:lang w:val="ru-RU"/>
              </w:rPr>
              <w:t>17</w:t>
            </w:r>
            <w:r w:rsidRPr="000E5959">
              <w:rPr>
                <w:rFonts w:ascii="Times New Roman" w:hAnsi="Times New Roman" w:cs="Times New Roman"/>
                <w:sz w:val="28"/>
                <w:szCs w:val="28"/>
                <w:lang w:val="ru-RU"/>
              </w:rPr>
              <w:t xml:space="preserve"> год. </w:t>
            </w:r>
            <w:r w:rsidR="009C64C7" w:rsidRPr="000E5959">
              <w:rPr>
                <w:rFonts w:ascii="Times New Roman" w:hAnsi="Times New Roman" w:cs="Times New Roman"/>
                <w:sz w:val="28"/>
                <w:szCs w:val="28"/>
                <w:lang w:val="ru-RU"/>
              </w:rPr>
              <w:t xml:space="preserve">00 </w:t>
            </w:r>
            <w:r w:rsidRPr="000E5959">
              <w:rPr>
                <w:rFonts w:ascii="Times New Roman" w:hAnsi="Times New Roman" w:cs="Times New Roman"/>
                <w:sz w:val="28"/>
                <w:szCs w:val="28"/>
                <w:lang w:val="ru-RU"/>
              </w:rPr>
              <w:t>хв.)</w:t>
            </w:r>
          </w:p>
        </w:tc>
      </w:tr>
      <w:tr w:rsidR="008A01EF" w14:paraId="5246B7B8" w14:textId="77777777" w:rsidTr="00B01934">
        <w:tc>
          <w:tcPr>
            <w:tcW w:w="4880" w:type="dxa"/>
            <w:gridSpan w:val="2"/>
          </w:tcPr>
          <w:p w14:paraId="1E8F48DF" w14:textId="4EB8E477" w:rsidR="008A01EF" w:rsidRPr="0056123E" w:rsidRDefault="008A01EF" w:rsidP="008A01EF">
            <w:pPr>
              <w:widowControl w:val="0"/>
              <w:rPr>
                <w:rFonts w:ascii="Times New Roman" w:hAnsi="Times New Roman" w:cs="Times New Roman"/>
                <w:sz w:val="28"/>
                <w:szCs w:val="28"/>
                <w:lang w:val="ru-RU"/>
              </w:rPr>
            </w:pPr>
            <w:r>
              <w:rPr>
                <w:rFonts w:ascii="Times New Roman" w:hAnsi="Times New Roman" w:cs="Times New Roman"/>
                <w:sz w:val="28"/>
                <w:szCs w:val="28"/>
              </w:rPr>
              <w:t>Місце та спосіб проведення співбесіди з  уповноваженою особою Мінветеранів</w:t>
            </w:r>
          </w:p>
        </w:tc>
        <w:tc>
          <w:tcPr>
            <w:tcW w:w="4748" w:type="dxa"/>
          </w:tcPr>
          <w:p w14:paraId="79EB486F" w14:textId="6CAB925C" w:rsidR="008A01EF" w:rsidRPr="0056123E" w:rsidRDefault="008A01EF" w:rsidP="008A01EF">
            <w:pPr>
              <w:widowControl w:val="0"/>
              <w:rPr>
                <w:rFonts w:ascii="Times New Roman" w:hAnsi="Times New Roman" w:cs="Times New Roman"/>
                <w:sz w:val="28"/>
                <w:szCs w:val="28"/>
                <w:lang w:val="ru-RU"/>
              </w:rPr>
            </w:pPr>
            <w:r>
              <w:rPr>
                <w:rFonts w:ascii="Times New Roman" w:hAnsi="Times New Roman" w:cs="Times New Roman"/>
                <w:sz w:val="28"/>
                <w:szCs w:val="28"/>
              </w:rPr>
              <w:t>Про місце та спосіб проведення співбесіди кандидатів буде повідомлено додатково</w:t>
            </w:r>
          </w:p>
        </w:tc>
      </w:tr>
      <w:tr w:rsidR="00303446" w14:paraId="54ABD240" w14:textId="77777777" w:rsidTr="00B01934">
        <w:tc>
          <w:tcPr>
            <w:tcW w:w="4880" w:type="dxa"/>
            <w:gridSpan w:val="2"/>
          </w:tcPr>
          <w:p w14:paraId="7E02EF2C" w14:textId="77777777" w:rsidR="00303446" w:rsidRPr="0056123E" w:rsidRDefault="00303446" w:rsidP="00303446">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Прізвище, ім’я та по  </w:t>
            </w:r>
          </w:p>
          <w:p w14:paraId="519E6950" w14:textId="77777777" w:rsidR="00303446" w:rsidRPr="0056123E" w:rsidRDefault="00303446" w:rsidP="00303446">
            <w:pPr>
              <w:widowControl w:val="0"/>
              <w:pBdr>
                <w:top w:val="nil"/>
                <w:left w:val="nil"/>
                <w:bottom w:val="nil"/>
                <w:right w:val="nil"/>
                <w:between w:val="nil"/>
              </w:pBdr>
              <w:spacing w:line="230" w:lineRule="auto"/>
              <w:ind w:right="-31" w:firstLine="3"/>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батькові, номер телефону та адреса електронної пошти  особи, яка надає додаткову  інформацію з питань  </w:t>
            </w:r>
          </w:p>
          <w:p w14:paraId="453B057E" w14:textId="77777777" w:rsidR="00303446" w:rsidRPr="0056123E" w:rsidRDefault="00303446" w:rsidP="00303446">
            <w:pPr>
              <w:rPr>
                <w:rFonts w:ascii="Times New Roman" w:hAnsi="Times New Roman" w:cs="Times New Roman"/>
                <w:sz w:val="28"/>
                <w:szCs w:val="28"/>
                <w:lang w:val="ru-RU"/>
              </w:rPr>
            </w:pPr>
            <w:r w:rsidRPr="0056123E">
              <w:rPr>
                <w:rFonts w:ascii="Times New Roman" w:hAnsi="Times New Roman" w:cs="Times New Roman"/>
                <w:sz w:val="28"/>
                <w:szCs w:val="28"/>
                <w:lang w:val="ru-RU"/>
              </w:rPr>
              <w:t>призначення на посаду</w:t>
            </w:r>
          </w:p>
        </w:tc>
        <w:tc>
          <w:tcPr>
            <w:tcW w:w="4748" w:type="dxa"/>
          </w:tcPr>
          <w:p w14:paraId="39A7122A" w14:textId="77777777" w:rsidR="00303446" w:rsidRPr="0056123E" w:rsidRDefault="00303446" w:rsidP="00303446">
            <w:pP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Шестакова Світлана Іванівна </w:t>
            </w:r>
          </w:p>
          <w:p w14:paraId="5970AC8C" w14:textId="66D2B5E9" w:rsidR="00303446" w:rsidRPr="00303446" w:rsidRDefault="00303446" w:rsidP="00303446">
            <w:pPr>
              <w:rPr>
                <w:rFonts w:ascii="Times New Roman" w:hAnsi="Times New Roman" w:cs="Times New Roman"/>
                <w:sz w:val="28"/>
                <w:szCs w:val="28"/>
              </w:rPr>
            </w:pPr>
            <w:r w:rsidRPr="0056123E">
              <w:rPr>
                <w:rFonts w:ascii="Times New Roman" w:hAnsi="Times New Roman" w:cs="Times New Roman"/>
                <w:sz w:val="28"/>
                <w:szCs w:val="28"/>
                <w:lang w:val="ru-RU"/>
              </w:rPr>
              <w:t>Тел</w:t>
            </w:r>
            <w:r w:rsidRPr="00865EC5">
              <w:rPr>
                <w:rFonts w:ascii="Times New Roman" w:hAnsi="Times New Roman" w:cs="Times New Roman"/>
                <w:sz w:val="28"/>
                <w:szCs w:val="28"/>
                <w:lang w:val="en-US"/>
              </w:rPr>
              <w:t>.</w:t>
            </w:r>
            <w:r w:rsidR="00061B67">
              <w:rPr>
                <w:rFonts w:ascii="Times New Roman" w:hAnsi="Times New Roman" w:cs="Times New Roman"/>
                <w:sz w:val="28"/>
                <w:szCs w:val="28"/>
              </w:rPr>
              <w:t>0632271215</w:t>
            </w:r>
          </w:p>
          <w:p w14:paraId="044E8E0A" w14:textId="52986826" w:rsidR="00303446" w:rsidRPr="00865EC5" w:rsidRDefault="00303446" w:rsidP="00303446">
            <w:pPr>
              <w:rPr>
                <w:rFonts w:ascii="Times New Roman" w:hAnsi="Times New Roman" w:cs="Times New Roman"/>
                <w:sz w:val="28"/>
                <w:szCs w:val="28"/>
                <w:lang w:val="en-US"/>
              </w:rPr>
            </w:pPr>
            <w:r w:rsidRPr="00865EC5">
              <w:rPr>
                <w:rFonts w:ascii="Times New Roman" w:hAnsi="Times New Roman" w:cs="Times New Roman"/>
                <w:sz w:val="28"/>
                <w:szCs w:val="28"/>
                <w:lang w:val="en-US"/>
              </w:rPr>
              <w:t>e-mail: career@mva.gov.ua</w:t>
            </w:r>
          </w:p>
        </w:tc>
      </w:tr>
      <w:tr w:rsidR="00303446" w14:paraId="49A19685" w14:textId="77777777" w:rsidTr="00B01934">
        <w:tc>
          <w:tcPr>
            <w:tcW w:w="9628" w:type="dxa"/>
            <w:gridSpan w:val="3"/>
          </w:tcPr>
          <w:p w14:paraId="5EADB910" w14:textId="77777777" w:rsidR="00303446" w:rsidRPr="0056123E" w:rsidRDefault="00303446" w:rsidP="00303446">
            <w:pPr>
              <w:widowControl w:val="0"/>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Кваліфікаційні вимоги</w:t>
            </w:r>
          </w:p>
        </w:tc>
      </w:tr>
      <w:tr w:rsidR="00303446" w14:paraId="35D99683" w14:textId="77777777" w:rsidTr="00B01934">
        <w:tc>
          <w:tcPr>
            <w:tcW w:w="4880" w:type="dxa"/>
            <w:gridSpan w:val="2"/>
          </w:tcPr>
          <w:p w14:paraId="571841E2"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Освіта</w:t>
            </w:r>
          </w:p>
        </w:tc>
        <w:tc>
          <w:tcPr>
            <w:tcW w:w="4748" w:type="dxa"/>
            <w:vAlign w:val="center"/>
          </w:tcPr>
          <w:p w14:paraId="58A46593" w14:textId="2C544EA5" w:rsidR="00303446" w:rsidRPr="0056123E" w:rsidRDefault="00B01934" w:rsidP="00B01934">
            <w:pPr>
              <w:rPr>
                <w:rFonts w:ascii="Times New Roman" w:hAnsi="Times New Roman" w:cs="Times New Roman"/>
                <w:sz w:val="28"/>
                <w:szCs w:val="28"/>
                <w:lang w:val="ru-RU"/>
              </w:rPr>
            </w:pPr>
            <w:r w:rsidRPr="00B01934">
              <w:rPr>
                <w:rFonts w:ascii="Times New Roman" w:hAnsi="Times New Roman" w:cs="Times New Roman"/>
                <w:sz w:val="28"/>
                <w:szCs w:val="28"/>
                <w:lang w:val="ru-RU"/>
              </w:rPr>
              <w:t xml:space="preserve">Ступінь вищої освіти – не нижче бакалавра або молодшого бакалавра </w:t>
            </w:r>
          </w:p>
        </w:tc>
      </w:tr>
      <w:tr w:rsidR="00303446" w14:paraId="0AC56286" w14:textId="77777777" w:rsidTr="00B01934">
        <w:tc>
          <w:tcPr>
            <w:tcW w:w="4880" w:type="dxa"/>
            <w:gridSpan w:val="2"/>
          </w:tcPr>
          <w:p w14:paraId="776FFED2"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Досвід роботи</w:t>
            </w:r>
          </w:p>
        </w:tc>
        <w:tc>
          <w:tcPr>
            <w:tcW w:w="4748" w:type="dxa"/>
            <w:vAlign w:val="center"/>
          </w:tcPr>
          <w:p w14:paraId="1E8FB953" w14:textId="1D1ABE49"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не потребує</w:t>
            </w:r>
          </w:p>
        </w:tc>
      </w:tr>
      <w:tr w:rsidR="00303446" w14:paraId="05521984" w14:textId="77777777" w:rsidTr="00B01934">
        <w:tc>
          <w:tcPr>
            <w:tcW w:w="4880" w:type="dxa"/>
            <w:gridSpan w:val="2"/>
          </w:tcPr>
          <w:p w14:paraId="51615917"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Володіння державною  мовою</w:t>
            </w:r>
          </w:p>
        </w:tc>
        <w:tc>
          <w:tcPr>
            <w:tcW w:w="4748" w:type="dxa"/>
          </w:tcPr>
          <w:p w14:paraId="7F30BD68" w14:textId="77777777" w:rsidR="00303446" w:rsidRPr="0056123E" w:rsidRDefault="00303446" w:rsidP="00303446">
            <w:pPr>
              <w:pStyle w:val="a6"/>
              <w:widowControl w:val="0"/>
              <w:shd w:val="clear" w:color="auto" w:fill="FFFFFF"/>
              <w:spacing w:before="0" w:beforeAutospacing="0" w:after="0" w:afterAutospacing="0"/>
              <w:jc w:val="both"/>
              <w:rPr>
                <w:rFonts w:eastAsiaTheme="minorHAnsi"/>
                <w:sz w:val="28"/>
                <w:szCs w:val="28"/>
                <w:lang w:val="ru-RU" w:eastAsia="en-US"/>
              </w:rPr>
            </w:pPr>
            <w:r w:rsidRPr="0056123E">
              <w:rPr>
                <w:rFonts w:eastAsiaTheme="minorHAnsi"/>
                <w:sz w:val="28"/>
                <w:szCs w:val="28"/>
                <w:lang w:val="ru-RU" w:eastAsia="en-US"/>
              </w:rPr>
              <w:t>Вільне володіння державною мовою.</w:t>
            </w:r>
          </w:p>
          <w:p w14:paraId="0BDF2A15" w14:textId="77777777" w:rsidR="00303446" w:rsidRPr="0056123E" w:rsidRDefault="00303446" w:rsidP="00303446">
            <w:pPr>
              <w:pStyle w:val="a6"/>
              <w:widowControl w:val="0"/>
              <w:shd w:val="clear" w:color="auto" w:fill="FFFFFF"/>
              <w:spacing w:before="0" w:beforeAutospacing="0" w:after="0" w:afterAutospacing="0"/>
              <w:jc w:val="both"/>
              <w:rPr>
                <w:rFonts w:eastAsiaTheme="minorHAnsi"/>
                <w:sz w:val="28"/>
                <w:szCs w:val="28"/>
                <w:lang w:val="ru-RU" w:eastAsia="en-US"/>
              </w:rPr>
            </w:pPr>
            <w:r w:rsidRPr="0056123E">
              <w:rPr>
                <w:rFonts w:eastAsiaTheme="minorHAnsi"/>
                <w:sz w:val="28"/>
                <w:szCs w:val="28"/>
                <w:lang w:val="ru-RU" w:eastAsia="en-US"/>
              </w:rPr>
              <w:t xml:space="preserve"> Особи, які претендують на зайняття посади державної служби  </w:t>
            </w:r>
            <w:r w:rsidRPr="0056123E">
              <w:rPr>
                <w:rFonts w:eastAsiaTheme="minorHAnsi"/>
                <w:sz w:val="28"/>
                <w:szCs w:val="28"/>
                <w:lang w:val="ru-RU" w:eastAsia="en-US"/>
              </w:rPr>
              <w:lastRenderedPageBreak/>
              <w:t xml:space="preserve">Мінветеранів у період воєнного стану не подають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Такий сертифікат має бути поданий протягом трьох місяців з дня припинення чи скасування воєнного стану. У разі неподання державним службовцем зазначеного сертифіката, така особа звільняється із займаної посади протягом трьох робочих днів. </w:t>
            </w:r>
          </w:p>
          <w:p w14:paraId="1EA399DB" w14:textId="77777777" w:rsidR="00303446" w:rsidRPr="0056123E" w:rsidRDefault="00303446" w:rsidP="00303446">
            <w:pPr>
              <w:widowControl w:val="0"/>
              <w:rPr>
                <w:rFonts w:ascii="Times New Roman" w:hAnsi="Times New Roman" w:cs="Times New Roman"/>
                <w:sz w:val="28"/>
                <w:szCs w:val="28"/>
                <w:lang w:val="ru-RU"/>
              </w:rPr>
            </w:pPr>
          </w:p>
        </w:tc>
      </w:tr>
      <w:tr w:rsidR="00303446" w14:paraId="5F73945B" w14:textId="77777777" w:rsidTr="00B01934">
        <w:tc>
          <w:tcPr>
            <w:tcW w:w="4880" w:type="dxa"/>
            <w:gridSpan w:val="2"/>
          </w:tcPr>
          <w:p w14:paraId="39A97DD9" w14:textId="77777777"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lastRenderedPageBreak/>
              <w:t>Володіння іноземною  мовою</w:t>
            </w:r>
          </w:p>
        </w:tc>
        <w:tc>
          <w:tcPr>
            <w:tcW w:w="4748" w:type="dxa"/>
          </w:tcPr>
          <w:p w14:paraId="364DBDB5" w14:textId="0F86FFB5" w:rsidR="00303446" w:rsidRPr="0056123E" w:rsidRDefault="00303446" w:rsidP="00303446">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Не потребує</w:t>
            </w:r>
          </w:p>
        </w:tc>
      </w:tr>
      <w:tr w:rsidR="00303446" w14:paraId="44E49DBC" w14:textId="77777777" w:rsidTr="00B01934">
        <w:tc>
          <w:tcPr>
            <w:tcW w:w="9628" w:type="dxa"/>
            <w:gridSpan w:val="3"/>
          </w:tcPr>
          <w:p w14:paraId="3D962A61" w14:textId="1231644C" w:rsidR="00303446" w:rsidRPr="0056123E" w:rsidRDefault="00303446" w:rsidP="00303446">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Вимога</w:t>
            </w:r>
          </w:p>
        </w:tc>
      </w:tr>
      <w:tr w:rsidR="00303446" w14:paraId="3BFADD4C" w14:textId="77777777" w:rsidTr="00B01934">
        <w:tc>
          <w:tcPr>
            <w:tcW w:w="4880" w:type="dxa"/>
            <w:gridSpan w:val="2"/>
          </w:tcPr>
          <w:p w14:paraId="4401202C" w14:textId="5E893927" w:rsidR="00303446" w:rsidRPr="0056123E" w:rsidRDefault="00303446" w:rsidP="00303446">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Вимога</w:t>
            </w:r>
          </w:p>
        </w:tc>
        <w:tc>
          <w:tcPr>
            <w:tcW w:w="4748" w:type="dxa"/>
          </w:tcPr>
          <w:p w14:paraId="6CEC3003" w14:textId="51626BCD" w:rsidR="00303446" w:rsidRPr="0056123E" w:rsidRDefault="00303446" w:rsidP="00303446">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Компоненти вимоги</w:t>
            </w:r>
          </w:p>
        </w:tc>
      </w:tr>
      <w:tr w:rsidR="00D26B03" w14:paraId="6763BDA7" w14:textId="77777777" w:rsidTr="00B01934">
        <w:tc>
          <w:tcPr>
            <w:tcW w:w="426" w:type="dxa"/>
          </w:tcPr>
          <w:p w14:paraId="22D5B781" w14:textId="3DEC5EE7" w:rsidR="00D26B03" w:rsidRPr="0056123E"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1.</w:t>
            </w:r>
          </w:p>
        </w:tc>
        <w:tc>
          <w:tcPr>
            <w:tcW w:w="4454" w:type="dxa"/>
          </w:tcPr>
          <w:p w14:paraId="7BED9C83" w14:textId="47DC2E0A" w:rsidR="00D26B03" w:rsidRPr="00581BBB"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sidRPr="00D26B03">
              <w:rPr>
                <w:rFonts w:ascii="Times New Roman" w:hAnsi="Times New Roman" w:cs="Times New Roman"/>
                <w:sz w:val="28"/>
                <w:szCs w:val="28"/>
                <w:lang w:val="ru-RU"/>
              </w:rPr>
              <w:t>Ефективність аналізу та висновків</w:t>
            </w:r>
          </w:p>
        </w:tc>
        <w:tc>
          <w:tcPr>
            <w:tcW w:w="4748" w:type="dxa"/>
          </w:tcPr>
          <w:p w14:paraId="5A89FBD6" w14:textId="77777777" w:rsidR="00D26B03" w:rsidRPr="00D26B03" w:rsidRDefault="00D26B03" w:rsidP="00D26B03">
            <w:pPr>
              <w:widowControl w:val="0"/>
              <w:snapToGrid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здатність оцінювати узагальнену інформацію;</w:t>
            </w:r>
          </w:p>
          <w:p w14:paraId="7A8F31CE" w14:textId="77777777" w:rsidR="00D26B03" w:rsidRPr="00D26B03" w:rsidRDefault="00D26B03" w:rsidP="00D26B03">
            <w:pPr>
              <w:widowControl w:val="0"/>
              <w:snapToGrid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здатність встановлювати логічні взаємозв’язки;</w:t>
            </w:r>
          </w:p>
          <w:p w14:paraId="316AC065" w14:textId="6276AFB5" w:rsidR="00D26B03" w:rsidRPr="00581BBB"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sidRPr="00D26B03">
              <w:rPr>
                <w:rFonts w:ascii="Times New Roman" w:hAnsi="Times New Roman" w:cs="Times New Roman"/>
                <w:sz w:val="28"/>
                <w:szCs w:val="28"/>
                <w:lang w:val="ru-RU"/>
              </w:rPr>
              <w:t>- здатність робити коректні висновки.</w:t>
            </w:r>
          </w:p>
        </w:tc>
      </w:tr>
      <w:tr w:rsidR="00D26B03" w14:paraId="5A0F967A" w14:textId="77777777" w:rsidTr="00B01934">
        <w:tc>
          <w:tcPr>
            <w:tcW w:w="426" w:type="dxa"/>
          </w:tcPr>
          <w:p w14:paraId="792AD73C" w14:textId="61C29B50" w:rsidR="00D26B03" w:rsidRPr="0056123E"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2.</w:t>
            </w:r>
          </w:p>
        </w:tc>
        <w:tc>
          <w:tcPr>
            <w:tcW w:w="4454" w:type="dxa"/>
          </w:tcPr>
          <w:p w14:paraId="7B9006A3" w14:textId="6AF5475E" w:rsidR="00D26B03" w:rsidRPr="00581BBB"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sidRPr="00D26B03">
              <w:rPr>
                <w:rFonts w:ascii="Times New Roman" w:hAnsi="Times New Roman" w:cs="Times New Roman"/>
                <w:sz w:val="28"/>
                <w:szCs w:val="28"/>
                <w:lang w:val="ru-RU"/>
              </w:rPr>
              <w:t>Досягнення результатів</w:t>
            </w:r>
          </w:p>
        </w:tc>
        <w:tc>
          <w:tcPr>
            <w:tcW w:w="4748" w:type="dxa"/>
          </w:tcPr>
          <w:p w14:paraId="7D7DC1C1" w14:textId="77777777" w:rsidR="00D26B03" w:rsidRPr="00D26B03" w:rsidRDefault="00D26B03" w:rsidP="00D26B03">
            <w:pPr>
              <w:widowControl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здатність до чіткого бачення результату діяльності;</w:t>
            </w:r>
          </w:p>
          <w:p w14:paraId="5C7F1454" w14:textId="77777777" w:rsidR="00D26B03" w:rsidRPr="00D26B03" w:rsidRDefault="00D26B03" w:rsidP="00D26B03">
            <w:pPr>
              <w:widowControl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вміння фокусувати зусилля для досягнення результату діяльності;</w:t>
            </w:r>
          </w:p>
          <w:p w14:paraId="123BC73D" w14:textId="77777777" w:rsidR="00D26B03" w:rsidRPr="00D26B03" w:rsidRDefault="00D26B03" w:rsidP="00D26B03">
            <w:pPr>
              <w:widowControl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вміння запобігати та ефективно долати перешкоди;</w:t>
            </w:r>
          </w:p>
          <w:p w14:paraId="1A573825" w14:textId="77777777" w:rsidR="00D26B03" w:rsidRPr="00D26B03" w:rsidRDefault="00D26B03" w:rsidP="00D26B03">
            <w:pPr>
              <w:widowControl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навички планування своєї роботи;</w:t>
            </w:r>
          </w:p>
          <w:p w14:paraId="5F5BA681" w14:textId="1F1193C6" w:rsidR="00D26B03" w:rsidRPr="00581BBB" w:rsidRDefault="00D26B03" w:rsidP="00D26B03">
            <w:pPr>
              <w:pStyle w:val="rvps14"/>
              <w:widowControl w:val="0"/>
              <w:spacing w:before="0" w:beforeAutospacing="0" w:after="0" w:afterAutospacing="0"/>
              <w:ind w:right="139"/>
              <w:rPr>
                <w:rFonts w:eastAsiaTheme="minorHAnsi"/>
                <w:sz w:val="28"/>
                <w:szCs w:val="28"/>
                <w:lang w:val="ru-RU" w:eastAsia="en-US"/>
              </w:rPr>
            </w:pPr>
            <w:r w:rsidRPr="00D26B03">
              <w:rPr>
                <w:rFonts w:eastAsiaTheme="minorHAnsi"/>
                <w:sz w:val="28"/>
                <w:szCs w:val="28"/>
                <w:lang w:val="ru-RU" w:eastAsia="en-US"/>
              </w:rPr>
              <w:t>- дисципліна та відповідальність за виконання своїх завдань.</w:t>
            </w:r>
          </w:p>
        </w:tc>
      </w:tr>
      <w:tr w:rsidR="00D26B03" w14:paraId="01BC7F9A" w14:textId="77777777" w:rsidTr="00B01934">
        <w:tc>
          <w:tcPr>
            <w:tcW w:w="426" w:type="dxa"/>
          </w:tcPr>
          <w:p w14:paraId="3D8168D9" w14:textId="2F868B38" w:rsidR="00D26B03" w:rsidRPr="0056123E"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t>3</w:t>
            </w:r>
            <w:r w:rsidRPr="0056123E">
              <w:rPr>
                <w:rFonts w:ascii="Times New Roman" w:hAnsi="Times New Roman" w:cs="Times New Roman"/>
                <w:sz w:val="28"/>
                <w:szCs w:val="28"/>
                <w:lang w:val="ru-RU"/>
              </w:rPr>
              <w:t>.</w:t>
            </w:r>
          </w:p>
        </w:tc>
        <w:tc>
          <w:tcPr>
            <w:tcW w:w="4454" w:type="dxa"/>
          </w:tcPr>
          <w:p w14:paraId="28A00F98" w14:textId="4FD72AFA" w:rsidR="00D26B03" w:rsidRPr="00581BBB"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sidRPr="00D26B03">
              <w:rPr>
                <w:rFonts w:ascii="Times New Roman" w:hAnsi="Times New Roman" w:cs="Times New Roman"/>
                <w:sz w:val="28"/>
                <w:szCs w:val="28"/>
                <w:lang w:val="ru-RU"/>
              </w:rPr>
              <w:t>Комунікація та взаємодія</w:t>
            </w:r>
          </w:p>
        </w:tc>
        <w:tc>
          <w:tcPr>
            <w:tcW w:w="4748" w:type="dxa"/>
          </w:tcPr>
          <w:p w14:paraId="55E5CA71" w14:textId="77777777" w:rsidR="00D26B03" w:rsidRPr="00D26B03" w:rsidRDefault="00D26B03" w:rsidP="00D26B03">
            <w:pPr>
              <w:widowControl w:val="0"/>
              <w:snapToGrid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вміння слухати та сприймати думки;</w:t>
            </w:r>
          </w:p>
          <w:p w14:paraId="6B942DA9" w14:textId="77777777" w:rsidR="00D26B03" w:rsidRPr="00D26B03" w:rsidRDefault="00D26B03" w:rsidP="00D26B03">
            <w:pPr>
              <w:widowControl w:val="0"/>
              <w:snapToGrid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здатність ефективно взаємодіяти, дослухатися, сприймати та викладати думку, чітко висловлюватися (усно та письмово);</w:t>
            </w:r>
          </w:p>
          <w:p w14:paraId="2EA899B7" w14:textId="77777777" w:rsidR="00D26B03" w:rsidRPr="00D26B03" w:rsidRDefault="00D26B03" w:rsidP="00D26B03">
            <w:pPr>
              <w:widowControl w:val="0"/>
              <w:snapToGrid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готовність ділитися досвідом та ідеями, відкритість у обміні інформацією;</w:t>
            </w:r>
          </w:p>
          <w:p w14:paraId="151DDBEC" w14:textId="77777777" w:rsidR="00D26B03" w:rsidRPr="00D26B03" w:rsidRDefault="00D26B03" w:rsidP="00D26B03">
            <w:pPr>
              <w:widowControl w:val="0"/>
              <w:snapToGrid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орієнтація на командний результат;</w:t>
            </w:r>
          </w:p>
          <w:p w14:paraId="358AA96D" w14:textId="77777777" w:rsidR="00D26B03" w:rsidRPr="00D26B03" w:rsidRDefault="00D26B03" w:rsidP="00D26B03">
            <w:pPr>
              <w:widowControl w:val="0"/>
              <w:snapToGrid w:val="0"/>
              <w:jc w:val="both"/>
              <w:rPr>
                <w:rFonts w:ascii="Times New Roman" w:hAnsi="Times New Roman" w:cs="Times New Roman"/>
                <w:sz w:val="28"/>
                <w:szCs w:val="28"/>
                <w:lang w:val="ru-RU"/>
              </w:rPr>
            </w:pPr>
            <w:r w:rsidRPr="00D26B03">
              <w:rPr>
                <w:rFonts w:ascii="Times New Roman" w:hAnsi="Times New Roman" w:cs="Times New Roman"/>
                <w:sz w:val="28"/>
                <w:szCs w:val="28"/>
                <w:lang w:val="ru-RU"/>
              </w:rPr>
              <w:t xml:space="preserve">- вміння розбудовувати партнерські </w:t>
            </w:r>
            <w:r w:rsidRPr="00D26B03">
              <w:rPr>
                <w:rFonts w:ascii="Times New Roman" w:hAnsi="Times New Roman" w:cs="Times New Roman"/>
                <w:sz w:val="28"/>
                <w:szCs w:val="28"/>
                <w:lang w:val="ru-RU"/>
              </w:rPr>
              <w:lastRenderedPageBreak/>
              <w:t>відносини;</w:t>
            </w:r>
          </w:p>
          <w:p w14:paraId="1F830DFE" w14:textId="23929962" w:rsidR="00D26B03" w:rsidRPr="00581BBB"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sidRPr="00D26B03">
              <w:rPr>
                <w:rFonts w:ascii="Times New Roman" w:hAnsi="Times New Roman" w:cs="Times New Roman"/>
                <w:sz w:val="28"/>
                <w:szCs w:val="28"/>
                <w:lang w:val="ru-RU"/>
              </w:rPr>
              <w:t>- здатність переконувати інших за допомогою аргументів та послідовної комунікації.</w:t>
            </w:r>
          </w:p>
        </w:tc>
      </w:tr>
      <w:tr w:rsidR="00D26B03" w14:paraId="140E4C1E" w14:textId="77777777" w:rsidTr="00B01934">
        <w:tc>
          <w:tcPr>
            <w:tcW w:w="426" w:type="dxa"/>
          </w:tcPr>
          <w:p w14:paraId="5FDA66A6" w14:textId="6F257514" w:rsidR="00D26B03" w:rsidRPr="0056123E"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r w:rsidRPr="0056123E">
              <w:rPr>
                <w:rFonts w:ascii="Times New Roman" w:hAnsi="Times New Roman" w:cs="Times New Roman"/>
                <w:sz w:val="28"/>
                <w:szCs w:val="28"/>
                <w:lang w:val="ru-RU"/>
              </w:rPr>
              <w:t>.</w:t>
            </w:r>
          </w:p>
        </w:tc>
        <w:tc>
          <w:tcPr>
            <w:tcW w:w="4454" w:type="dxa"/>
          </w:tcPr>
          <w:p w14:paraId="58A0E331" w14:textId="59391598" w:rsidR="00D26B03" w:rsidRPr="00581BBB"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sidRPr="00D26B03">
              <w:rPr>
                <w:rFonts w:ascii="Times New Roman" w:hAnsi="Times New Roman" w:cs="Times New Roman"/>
                <w:sz w:val="28"/>
                <w:szCs w:val="28"/>
                <w:lang w:val="ru-RU"/>
              </w:rPr>
              <w:t>Стресостійкість</w:t>
            </w:r>
          </w:p>
        </w:tc>
        <w:tc>
          <w:tcPr>
            <w:tcW w:w="4748" w:type="dxa"/>
          </w:tcPr>
          <w:p w14:paraId="2030147E" w14:textId="77777777" w:rsidR="00D26B03" w:rsidRPr="00D26B03" w:rsidRDefault="00D26B03" w:rsidP="00D26B03">
            <w:pPr>
              <w:widowControl w:val="0"/>
              <w:rPr>
                <w:rFonts w:ascii="Times New Roman" w:hAnsi="Times New Roman" w:cs="Times New Roman"/>
                <w:sz w:val="28"/>
                <w:szCs w:val="28"/>
                <w:lang w:val="ru-RU"/>
              </w:rPr>
            </w:pPr>
            <w:r w:rsidRPr="00D26B03">
              <w:rPr>
                <w:rFonts w:ascii="Times New Roman" w:hAnsi="Times New Roman" w:cs="Times New Roman"/>
                <w:sz w:val="28"/>
                <w:szCs w:val="28"/>
                <w:lang w:val="ru-RU"/>
              </w:rPr>
              <w:t>- вміння управляти своїми емоціями;</w:t>
            </w:r>
          </w:p>
          <w:p w14:paraId="6F8EE097" w14:textId="77777777" w:rsidR="00D26B03" w:rsidRPr="00D26B03" w:rsidRDefault="00D26B03" w:rsidP="00D26B03">
            <w:pPr>
              <w:widowControl w:val="0"/>
              <w:rPr>
                <w:rFonts w:ascii="Times New Roman" w:hAnsi="Times New Roman" w:cs="Times New Roman"/>
                <w:sz w:val="28"/>
                <w:szCs w:val="28"/>
                <w:lang w:val="ru-RU"/>
              </w:rPr>
            </w:pPr>
            <w:r w:rsidRPr="00D26B03">
              <w:rPr>
                <w:rFonts w:ascii="Times New Roman" w:hAnsi="Times New Roman" w:cs="Times New Roman"/>
                <w:sz w:val="28"/>
                <w:szCs w:val="28"/>
                <w:lang w:val="ru-RU"/>
              </w:rPr>
              <w:t>- здатність до самоконтролю;</w:t>
            </w:r>
          </w:p>
          <w:p w14:paraId="574AF13F" w14:textId="77777777" w:rsidR="00D26B03" w:rsidRPr="00D26B03" w:rsidRDefault="00D26B03" w:rsidP="00D26B03">
            <w:pPr>
              <w:widowControl w:val="0"/>
              <w:rPr>
                <w:rFonts w:ascii="Times New Roman" w:hAnsi="Times New Roman" w:cs="Times New Roman"/>
                <w:sz w:val="28"/>
                <w:szCs w:val="28"/>
                <w:lang w:val="ru-RU"/>
              </w:rPr>
            </w:pPr>
            <w:r w:rsidRPr="00D26B03">
              <w:rPr>
                <w:rFonts w:ascii="Times New Roman" w:hAnsi="Times New Roman" w:cs="Times New Roman"/>
                <w:sz w:val="28"/>
                <w:szCs w:val="28"/>
                <w:lang w:val="ru-RU"/>
              </w:rPr>
              <w:t>- здатність до конструктивного ставлення до зворотного зв’язку, зокрема критики;</w:t>
            </w:r>
          </w:p>
          <w:p w14:paraId="06CA2586" w14:textId="7115E968" w:rsidR="00D26B03" w:rsidRPr="00581BBB"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sidRPr="00D26B03">
              <w:rPr>
                <w:rFonts w:ascii="Times New Roman" w:hAnsi="Times New Roman" w:cs="Times New Roman"/>
                <w:sz w:val="28"/>
                <w:szCs w:val="28"/>
                <w:lang w:val="ru-RU"/>
              </w:rPr>
              <w:t>- оптимізм.</w:t>
            </w:r>
          </w:p>
        </w:tc>
      </w:tr>
      <w:tr w:rsidR="00D26B03" w14:paraId="2EEFBBA6" w14:textId="77777777" w:rsidTr="00B01934">
        <w:tc>
          <w:tcPr>
            <w:tcW w:w="426" w:type="dxa"/>
          </w:tcPr>
          <w:p w14:paraId="53A9532A" w14:textId="019CB8D5" w:rsidR="00D26B03" w:rsidRDefault="00D26B03" w:rsidP="00D26B03">
            <w:pPr>
              <w:widowControl w:val="0"/>
              <w:pBdr>
                <w:top w:val="nil"/>
                <w:left w:val="nil"/>
                <w:bottom w:val="nil"/>
                <w:right w:val="nil"/>
                <w:between w:val="nil"/>
              </w:pBd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454" w:type="dxa"/>
          </w:tcPr>
          <w:p w14:paraId="21E856F7" w14:textId="7EEEDE41" w:rsidR="00D26B03" w:rsidRPr="00581BBB" w:rsidRDefault="00D26B03" w:rsidP="00D26B03">
            <w:pPr>
              <w:widowControl w:val="0"/>
              <w:pBdr>
                <w:top w:val="nil"/>
                <w:left w:val="nil"/>
                <w:bottom w:val="nil"/>
                <w:right w:val="nil"/>
                <w:between w:val="nil"/>
              </w:pBdr>
              <w:rPr>
                <w:rFonts w:ascii="Times New Roman" w:hAnsi="Times New Roman" w:cs="Times New Roman"/>
                <w:sz w:val="28"/>
                <w:szCs w:val="28"/>
                <w:lang w:val="ru-RU"/>
              </w:rPr>
            </w:pPr>
            <w:r w:rsidRPr="00D26B03">
              <w:rPr>
                <w:rFonts w:ascii="Times New Roman" w:hAnsi="Times New Roman" w:cs="Times New Roman"/>
                <w:sz w:val="28"/>
                <w:szCs w:val="28"/>
                <w:lang w:val="ru-RU"/>
              </w:rPr>
              <w:t>Уміння працювати з комп’ютером</w:t>
            </w:r>
          </w:p>
        </w:tc>
        <w:tc>
          <w:tcPr>
            <w:tcW w:w="4748" w:type="dxa"/>
          </w:tcPr>
          <w:p w14:paraId="695CFA00" w14:textId="7A0B825B" w:rsidR="00D26B03" w:rsidRPr="00581BBB" w:rsidRDefault="00D26B03" w:rsidP="00D26B03">
            <w:pPr>
              <w:pStyle w:val="rvps14"/>
              <w:widowControl w:val="0"/>
              <w:spacing w:before="0" w:beforeAutospacing="0" w:after="0" w:afterAutospacing="0"/>
              <w:ind w:right="139"/>
              <w:rPr>
                <w:rFonts w:eastAsiaTheme="minorHAnsi"/>
                <w:sz w:val="28"/>
                <w:szCs w:val="28"/>
                <w:lang w:val="ru-RU" w:eastAsia="en-US"/>
              </w:rPr>
            </w:pPr>
            <w:r w:rsidRPr="00D26B03">
              <w:rPr>
                <w:rFonts w:eastAsiaTheme="minorHAnsi"/>
                <w:sz w:val="28"/>
                <w:szCs w:val="28"/>
                <w:lang w:val="ru-RU" w:eastAsia="en-US"/>
              </w:rPr>
              <w:t>- впевнений користувач ПК (Microsoft Office Excel, Microsoft Office Word, PowerPoint)</w:t>
            </w:r>
          </w:p>
        </w:tc>
      </w:tr>
    </w:tbl>
    <w:p w14:paraId="4CA100C4" w14:textId="77777777" w:rsidR="00B01934" w:rsidRPr="00B01934" w:rsidRDefault="00B01934" w:rsidP="00B01934">
      <w:pPr>
        <w:pBdr>
          <w:top w:val="nil"/>
          <w:left w:val="nil"/>
          <w:bottom w:val="nil"/>
          <w:right w:val="nil"/>
          <w:between w:val="nil"/>
        </w:pBdr>
        <w:spacing w:after="0" w:line="240" w:lineRule="auto"/>
        <w:rPr>
          <w:rFonts w:ascii="Times New Roman" w:hAnsi="Times New Roman" w:cs="Times New Roman"/>
          <w:sz w:val="28"/>
          <w:szCs w:val="28"/>
        </w:rPr>
      </w:pPr>
    </w:p>
    <w:sectPr w:rsidR="00B01934" w:rsidRPr="00B01934" w:rsidSect="00124C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ntiqua">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417"/>
    <w:multiLevelType w:val="hybridMultilevel"/>
    <w:tmpl w:val="BCB02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11437"/>
    <w:multiLevelType w:val="hybridMultilevel"/>
    <w:tmpl w:val="493AA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BC18F4"/>
    <w:multiLevelType w:val="multilevel"/>
    <w:tmpl w:val="DA5E07AC"/>
    <w:lvl w:ilvl="0">
      <w:start w:val="1"/>
      <w:numFmt w:val="upperRoman"/>
      <w:pStyle w:val="a"/>
      <w:lvlText w:val="%1."/>
      <w:lvlJc w:val="left"/>
      <w:pPr>
        <w:ind w:left="1080" w:hanging="720"/>
      </w:pPr>
    </w:lvl>
    <w:lvl w:ilvl="1">
      <w:start w:val="1"/>
      <w:numFmt w:val="decimal"/>
      <w:pStyle w:val="a0"/>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67C711E5"/>
    <w:multiLevelType w:val="hybridMultilevel"/>
    <w:tmpl w:val="822C35FA"/>
    <w:lvl w:ilvl="0" w:tplc="159A2C28">
      <w:start w:val="1"/>
      <w:numFmt w:val="decimal"/>
      <w:pStyle w:val="a1"/>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1147162402">
    <w:abstractNumId w:val="3"/>
  </w:num>
  <w:num w:numId="2" w16cid:durableId="2083680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012317">
    <w:abstractNumId w:val="0"/>
  </w:num>
  <w:num w:numId="4" w16cid:durableId="182596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A7"/>
    <w:rsid w:val="000462B8"/>
    <w:rsid w:val="0006090A"/>
    <w:rsid w:val="00061B67"/>
    <w:rsid w:val="000C32BA"/>
    <w:rsid w:val="000E5959"/>
    <w:rsid w:val="00124CE6"/>
    <w:rsid w:val="001506F8"/>
    <w:rsid w:val="00151BBC"/>
    <w:rsid w:val="00160492"/>
    <w:rsid w:val="001C4BDF"/>
    <w:rsid w:val="001E58B5"/>
    <w:rsid w:val="001F64FD"/>
    <w:rsid w:val="0021437D"/>
    <w:rsid w:val="00280EE7"/>
    <w:rsid w:val="0029748A"/>
    <w:rsid w:val="002E73D0"/>
    <w:rsid w:val="002F5C69"/>
    <w:rsid w:val="00303446"/>
    <w:rsid w:val="003645A3"/>
    <w:rsid w:val="00375481"/>
    <w:rsid w:val="003D4AB3"/>
    <w:rsid w:val="00400A05"/>
    <w:rsid w:val="00497FEF"/>
    <w:rsid w:val="004F6A7C"/>
    <w:rsid w:val="0056123E"/>
    <w:rsid w:val="00566BD7"/>
    <w:rsid w:val="00571850"/>
    <w:rsid w:val="00581BBB"/>
    <w:rsid w:val="005971FA"/>
    <w:rsid w:val="00631950"/>
    <w:rsid w:val="00635AA7"/>
    <w:rsid w:val="00641C59"/>
    <w:rsid w:val="006C07B5"/>
    <w:rsid w:val="00706FEB"/>
    <w:rsid w:val="007A4A47"/>
    <w:rsid w:val="007F0487"/>
    <w:rsid w:val="00830048"/>
    <w:rsid w:val="00831190"/>
    <w:rsid w:val="00865EC5"/>
    <w:rsid w:val="00894D42"/>
    <w:rsid w:val="008A01EF"/>
    <w:rsid w:val="008C4664"/>
    <w:rsid w:val="009C64C7"/>
    <w:rsid w:val="009D7161"/>
    <w:rsid w:val="009F7E5D"/>
    <w:rsid w:val="00A22F87"/>
    <w:rsid w:val="00A26963"/>
    <w:rsid w:val="00A3390B"/>
    <w:rsid w:val="00A40AC5"/>
    <w:rsid w:val="00A675A3"/>
    <w:rsid w:val="00A952F6"/>
    <w:rsid w:val="00B01934"/>
    <w:rsid w:val="00B07E81"/>
    <w:rsid w:val="00B575B7"/>
    <w:rsid w:val="00B615B1"/>
    <w:rsid w:val="00BA31B5"/>
    <w:rsid w:val="00BB4055"/>
    <w:rsid w:val="00C047C9"/>
    <w:rsid w:val="00C154C8"/>
    <w:rsid w:val="00C1564B"/>
    <w:rsid w:val="00C3582C"/>
    <w:rsid w:val="00C40412"/>
    <w:rsid w:val="00D26B03"/>
    <w:rsid w:val="00D275E2"/>
    <w:rsid w:val="00D52EA2"/>
    <w:rsid w:val="00E0263D"/>
    <w:rsid w:val="00EF195F"/>
    <w:rsid w:val="00F64C42"/>
    <w:rsid w:val="00F97586"/>
    <w:rsid w:val="00FD7E0D"/>
    <w:rsid w:val="00FF345B"/>
    <w:rsid w:val="00FF6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FB82"/>
  <w15:chartTrackingRefBased/>
  <w15:docId w15:val="{269A867B-5050-462C-9F1D-DB822434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635A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basedOn w:val="a3"/>
    <w:rsid w:val="00635AA7"/>
    <w:rPr>
      <w:rFonts w:ascii="TimesNewRomanPS-BoldMT" w:hAnsi="TimesNewRomanPS-BoldMT" w:hint="default"/>
      <w:b/>
      <w:bCs/>
      <w:i w:val="0"/>
      <w:iCs w:val="0"/>
      <w:color w:val="000000"/>
      <w:sz w:val="24"/>
      <w:szCs w:val="24"/>
    </w:rPr>
  </w:style>
  <w:style w:type="table" w:styleId="a7">
    <w:name w:val="Table Grid"/>
    <w:basedOn w:val="a4"/>
    <w:uiPriority w:val="39"/>
    <w:rsid w:val="0063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3"/>
    <w:uiPriority w:val="99"/>
    <w:unhideWhenUsed/>
    <w:rsid w:val="00EF195F"/>
    <w:rPr>
      <w:color w:val="0000FF"/>
      <w:u w:val="single"/>
    </w:rPr>
  </w:style>
  <w:style w:type="paragraph" w:customStyle="1" w:styleId="a1">
    <w:name w:val="Подпункт"/>
    <w:basedOn w:val="a2"/>
    <w:link w:val="a9"/>
    <w:qFormat/>
    <w:rsid w:val="00A3390B"/>
    <w:pPr>
      <w:numPr>
        <w:numId w:val="1"/>
      </w:numPr>
      <w:tabs>
        <w:tab w:val="left" w:pos="142"/>
        <w:tab w:val="left" w:pos="426"/>
        <w:tab w:val="left" w:pos="1276"/>
        <w:tab w:val="left" w:pos="1418"/>
        <w:tab w:val="left" w:pos="1843"/>
      </w:tabs>
      <w:spacing w:before="120" w:after="120" w:line="240" w:lineRule="auto"/>
      <w:jc w:val="both"/>
    </w:pPr>
    <w:rPr>
      <w:rFonts w:ascii="Times New Roman" w:eastAsia="Times New Roman" w:hAnsi="Times New Roman" w:cs="Times New Roman"/>
      <w:color w:val="000000"/>
      <w:sz w:val="28"/>
      <w:szCs w:val="28"/>
      <w:lang w:eastAsia="ru-RU"/>
    </w:rPr>
  </w:style>
  <w:style w:type="character" w:customStyle="1" w:styleId="a9">
    <w:name w:val="Подпункт Знак"/>
    <w:link w:val="a1"/>
    <w:rsid w:val="00A3390B"/>
    <w:rPr>
      <w:rFonts w:ascii="Times New Roman" w:eastAsia="Times New Roman" w:hAnsi="Times New Roman" w:cs="Times New Roman"/>
      <w:color w:val="000000"/>
      <w:sz w:val="28"/>
      <w:szCs w:val="28"/>
      <w:lang w:eastAsia="ru-RU"/>
    </w:rPr>
  </w:style>
  <w:style w:type="paragraph" w:customStyle="1" w:styleId="a">
    <w:name w:val="Розділ"/>
    <w:basedOn w:val="aa"/>
    <w:qFormat/>
    <w:rsid w:val="0029748A"/>
    <w:pPr>
      <w:numPr>
        <w:numId w:val="2"/>
      </w:numPr>
      <w:tabs>
        <w:tab w:val="left" w:pos="284"/>
        <w:tab w:val="num" w:pos="360"/>
      </w:tabs>
      <w:snapToGrid w:val="0"/>
      <w:spacing w:before="120" w:after="120" w:line="240" w:lineRule="auto"/>
      <w:ind w:left="0" w:firstLine="0"/>
      <w:jc w:val="center"/>
    </w:pPr>
    <w:rPr>
      <w:rFonts w:ascii="Calibri" w:eastAsia="Calibri" w:hAnsi="Calibri" w:cs="Times New Roman"/>
      <w:b/>
      <w:color w:val="000000"/>
      <w:sz w:val="28"/>
      <w:szCs w:val="28"/>
      <w:lang w:val="en-US"/>
    </w:rPr>
  </w:style>
  <w:style w:type="character" w:customStyle="1" w:styleId="ab">
    <w:name w:val="Пункт Знак"/>
    <w:link w:val="a0"/>
    <w:locked/>
    <w:rsid w:val="0029748A"/>
    <w:rPr>
      <w:rFonts w:ascii="Calibri" w:hAnsi="Calibri"/>
      <w:color w:val="000000"/>
      <w:sz w:val="28"/>
      <w:szCs w:val="28"/>
    </w:rPr>
  </w:style>
  <w:style w:type="paragraph" w:customStyle="1" w:styleId="a0">
    <w:name w:val="Пункт"/>
    <w:basedOn w:val="aa"/>
    <w:link w:val="ab"/>
    <w:qFormat/>
    <w:rsid w:val="0029748A"/>
    <w:pPr>
      <w:numPr>
        <w:ilvl w:val="1"/>
        <w:numId w:val="2"/>
      </w:numPr>
      <w:tabs>
        <w:tab w:val="left" w:pos="142"/>
        <w:tab w:val="left" w:pos="426"/>
        <w:tab w:val="left" w:pos="993"/>
      </w:tabs>
      <w:spacing w:before="120" w:after="120" w:line="240" w:lineRule="auto"/>
      <w:contextualSpacing w:val="0"/>
      <w:jc w:val="both"/>
    </w:pPr>
    <w:rPr>
      <w:rFonts w:ascii="Calibri" w:hAnsi="Calibri"/>
      <w:color w:val="000000"/>
      <w:sz w:val="28"/>
      <w:szCs w:val="28"/>
    </w:rPr>
  </w:style>
  <w:style w:type="paragraph" w:styleId="aa">
    <w:name w:val="List Paragraph"/>
    <w:basedOn w:val="a2"/>
    <w:uiPriority w:val="34"/>
    <w:qFormat/>
    <w:rsid w:val="0029748A"/>
    <w:pPr>
      <w:ind w:left="720"/>
      <w:contextualSpacing/>
    </w:pPr>
  </w:style>
  <w:style w:type="paragraph" w:customStyle="1" w:styleId="ac">
    <w:name w:val="Нормальний текст"/>
    <w:basedOn w:val="a2"/>
    <w:rsid w:val="0029748A"/>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29748A"/>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uk-UA"/>
    </w:rPr>
  </w:style>
  <w:style w:type="paragraph" w:customStyle="1" w:styleId="rvps14">
    <w:name w:val="rvps14"/>
    <w:basedOn w:val="a2"/>
    <w:rsid w:val="002974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3"/>
    <w:rsid w:val="0029748A"/>
  </w:style>
  <w:style w:type="paragraph" w:styleId="ad">
    <w:name w:val="header"/>
    <w:basedOn w:val="a2"/>
    <w:link w:val="ae"/>
    <w:uiPriority w:val="99"/>
    <w:unhideWhenUsed/>
    <w:rsid w:val="00D26B03"/>
    <w:pPr>
      <w:tabs>
        <w:tab w:val="center" w:pos="4844"/>
        <w:tab w:val="right" w:pos="9689"/>
      </w:tabs>
      <w:spacing w:after="0" w:line="240" w:lineRule="auto"/>
    </w:pPr>
    <w:rPr>
      <w:lang w:val="en-US"/>
    </w:rPr>
  </w:style>
  <w:style w:type="character" w:customStyle="1" w:styleId="ae">
    <w:name w:val="Верхній колонтитул Знак"/>
    <w:basedOn w:val="a3"/>
    <w:link w:val="ad"/>
    <w:uiPriority w:val="99"/>
    <w:rsid w:val="00D26B0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eer@mv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F643-CFB9-48F4-B60E-8C11F642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3968</Words>
  <Characters>2263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Шестакова Світлана Іванівна</cp:lastModifiedBy>
  <cp:revision>13</cp:revision>
  <cp:lastPrinted>2022-07-29T07:24:00Z</cp:lastPrinted>
  <dcterms:created xsi:type="dcterms:W3CDTF">2022-07-28T07:54:00Z</dcterms:created>
  <dcterms:modified xsi:type="dcterms:W3CDTF">2022-07-29T11:32:00Z</dcterms:modified>
</cp:coreProperties>
</file>