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7E" w:rsidRPr="0072307E" w:rsidRDefault="0072307E" w:rsidP="0072307E">
      <w:pPr>
        <w:spacing w:after="0" w:line="240" w:lineRule="auto"/>
        <w:ind w:left="9923"/>
        <w:rPr>
          <w:rFonts w:ascii="Times New Roman" w:hAnsi="Times New Roman"/>
          <w:b/>
          <w:color w:val="000000"/>
          <w:sz w:val="28"/>
          <w:szCs w:val="28"/>
        </w:rPr>
      </w:pPr>
      <w:r w:rsidRPr="0072307E">
        <w:rPr>
          <w:rFonts w:ascii="Times New Roman" w:hAnsi="Times New Roman"/>
          <w:b/>
          <w:color w:val="000000"/>
          <w:sz w:val="28"/>
          <w:szCs w:val="28"/>
        </w:rPr>
        <w:t>ЗАТВЕРДЖУЮ</w:t>
      </w:r>
    </w:p>
    <w:p w:rsidR="0072307E" w:rsidRPr="0072307E" w:rsidRDefault="0072307E" w:rsidP="0072307E">
      <w:pPr>
        <w:spacing w:after="0" w:line="240" w:lineRule="auto"/>
        <w:ind w:left="9923"/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</w:pPr>
      <w:r w:rsidRPr="0072307E">
        <w:rPr>
          <w:rFonts w:ascii="Times New Roman" w:eastAsia="Times New Roman" w:hAnsi="Times New Roman"/>
          <w:b/>
          <w:bCs/>
          <w:iCs/>
          <w:sz w:val="28"/>
          <w:szCs w:val="28"/>
          <w:lang w:val="uk-UA"/>
        </w:rPr>
        <w:t>Міністр у справах ветеранів України</w:t>
      </w:r>
    </w:p>
    <w:p w:rsidR="0072307E" w:rsidRPr="0072307E" w:rsidRDefault="0072307E" w:rsidP="0072307E">
      <w:pPr>
        <w:spacing w:after="0" w:line="240" w:lineRule="auto"/>
        <w:ind w:left="9923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72307E">
        <w:rPr>
          <w:rFonts w:ascii="Times New Roman" w:eastAsia="Times New Roman" w:hAnsi="Times New Roman"/>
          <w:b/>
          <w:bCs/>
          <w:i/>
          <w:sz w:val="28"/>
          <w:szCs w:val="28"/>
          <w:lang w:val="uk-UA"/>
        </w:rPr>
        <w:t xml:space="preserve">                                           </w:t>
      </w:r>
    </w:p>
    <w:p w:rsidR="0072307E" w:rsidRPr="0072307E" w:rsidRDefault="0072307E" w:rsidP="0072307E">
      <w:pPr>
        <w:spacing w:after="0" w:line="240" w:lineRule="auto"/>
        <w:ind w:left="9361" w:firstLine="561"/>
        <w:rPr>
          <w:rFonts w:ascii="Times New Roman" w:eastAsia="Times New Roman" w:hAnsi="Times New Roman"/>
          <w:bCs/>
          <w:i/>
          <w:sz w:val="28"/>
          <w:szCs w:val="28"/>
          <w:lang w:val="uk-UA"/>
        </w:rPr>
      </w:pPr>
      <w:r w:rsidRPr="0072307E">
        <w:rPr>
          <w:rFonts w:ascii="Times New Roman" w:eastAsia="Times New Roman" w:hAnsi="Times New Roman"/>
          <w:b/>
          <w:bCs/>
          <w:i/>
          <w:sz w:val="28"/>
          <w:szCs w:val="28"/>
          <w:lang w:val="uk-UA"/>
        </w:rPr>
        <w:t xml:space="preserve">______________ </w:t>
      </w:r>
      <w:r w:rsidRPr="0072307E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/>
        </w:rPr>
        <w:t>Сергій</w:t>
      </w:r>
      <w:r w:rsidRPr="0072307E">
        <w:rPr>
          <w:rFonts w:ascii="Times New Roman" w:eastAsia="Times New Roman" w:hAnsi="Times New Roman"/>
          <w:b/>
          <w:iCs/>
          <w:sz w:val="28"/>
          <w:szCs w:val="28"/>
          <w:u w:val="single"/>
          <w:lang w:val="uk-UA"/>
        </w:rPr>
        <w:t xml:space="preserve"> БЕССАРАБ</w:t>
      </w:r>
      <w:r w:rsidRPr="0072307E">
        <w:rPr>
          <w:rFonts w:ascii="Times New Roman" w:eastAsia="Times New Roman" w:hAnsi="Times New Roman"/>
          <w:bCs/>
          <w:i/>
          <w:sz w:val="28"/>
          <w:szCs w:val="28"/>
          <w:lang w:val="uk-UA"/>
        </w:rPr>
        <w:t xml:space="preserve"> </w:t>
      </w:r>
    </w:p>
    <w:p w:rsidR="0072307E" w:rsidRPr="0072307E" w:rsidRDefault="0072307E" w:rsidP="0072307E">
      <w:pPr>
        <w:spacing w:after="0" w:line="240" w:lineRule="auto"/>
        <w:ind w:left="9923"/>
        <w:rPr>
          <w:rFonts w:ascii="Times New Roman" w:eastAsia="Times New Roman" w:hAnsi="Times New Roman"/>
          <w:bCs/>
          <w:i/>
          <w:sz w:val="16"/>
          <w:szCs w:val="16"/>
          <w:lang w:val="uk-UA"/>
        </w:rPr>
      </w:pPr>
      <w:r w:rsidRPr="0072307E">
        <w:rPr>
          <w:rFonts w:ascii="Times New Roman" w:eastAsia="Times New Roman" w:hAnsi="Times New Roman"/>
          <w:bCs/>
          <w:i/>
          <w:sz w:val="16"/>
          <w:szCs w:val="16"/>
          <w:lang w:val="uk-UA"/>
        </w:rPr>
        <w:t xml:space="preserve">                 (підпис)                                            (І.П.)</w:t>
      </w:r>
    </w:p>
    <w:p w:rsidR="0072307E" w:rsidRPr="0072307E" w:rsidRDefault="0072307E" w:rsidP="0072307E">
      <w:pPr>
        <w:spacing w:before="60" w:after="0" w:line="240" w:lineRule="auto"/>
        <w:ind w:left="9923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7230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2307E">
        <w:rPr>
          <w:rFonts w:ascii="Times New Roman" w:hAnsi="Times New Roman"/>
          <w:color w:val="000000"/>
          <w:sz w:val="28"/>
          <w:szCs w:val="28"/>
        </w:rPr>
        <w:t>«</w:t>
      </w:r>
      <w:r w:rsidR="000A069F">
        <w:rPr>
          <w:rFonts w:ascii="Times New Roman" w:hAnsi="Times New Roman"/>
          <w:color w:val="000000"/>
          <w:sz w:val="28"/>
          <w:szCs w:val="28"/>
          <w:lang w:val="uk-UA"/>
        </w:rPr>
        <w:t>02»</w:t>
      </w:r>
      <w:r w:rsidRPr="0072307E">
        <w:rPr>
          <w:rFonts w:ascii="Times New Roman" w:hAnsi="Times New Roman"/>
          <w:color w:val="000000"/>
          <w:sz w:val="28"/>
          <w:szCs w:val="28"/>
        </w:rPr>
        <w:t xml:space="preserve"> _</w:t>
      </w:r>
      <w:r w:rsidR="000A069F">
        <w:rPr>
          <w:rFonts w:ascii="Times New Roman" w:hAnsi="Times New Roman"/>
          <w:color w:val="000000"/>
          <w:sz w:val="28"/>
          <w:szCs w:val="28"/>
          <w:lang w:val="uk-UA"/>
        </w:rPr>
        <w:t>червня</w:t>
      </w:r>
      <w:r w:rsidRPr="0072307E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72307E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 w:rsidRPr="0072307E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72307E" w:rsidRDefault="0072307E" w:rsidP="00F56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56461" w:rsidRPr="00A55843" w:rsidRDefault="00F56461" w:rsidP="00F56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ОПЕРАЦІЙНИЙ</w:t>
      </w:r>
      <w:r w:rsidRPr="00A55843">
        <w:rPr>
          <w:rFonts w:ascii="Times New Roman" w:hAnsi="Times New Roman"/>
          <w:b/>
          <w:bCs/>
          <w:sz w:val="24"/>
          <w:szCs w:val="24"/>
          <w:lang w:val="uk-UA"/>
        </w:rPr>
        <w:t xml:space="preserve"> ПЛАН </w:t>
      </w:r>
    </w:p>
    <w:p w:rsidR="00B04332" w:rsidRPr="00A219C6" w:rsidRDefault="00B04332" w:rsidP="00B0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19C6">
        <w:rPr>
          <w:rFonts w:ascii="Times New Roman" w:hAnsi="Times New Roman"/>
          <w:b/>
          <w:bCs/>
          <w:sz w:val="24"/>
          <w:szCs w:val="24"/>
          <w:lang w:val="uk-UA"/>
        </w:rPr>
        <w:t xml:space="preserve">ДІЯЛЬНОСТІ З ВНУТРІШНЬОГО АУДИТУ </w:t>
      </w:r>
    </w:p>
    <w:p w:rsidR="00B04332" w:rsidRPr="0072307E" w:rsidRDefault="00B04332" w:rsidP="00B0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219C6">
        <w:rPr>
          <w:rFonts w:ascii="Times New Roman" w:hAnsi="Times New Roman"/>
          <w:b/>
          <w:bCs/>
          <w:sz w:val="24"/>
          <w:szCs w:val="24"/>
          <w:lang w:val="uk-UA"/>
        </w:rPr>
        <w:t>на 2020  р</w:t>
      </w:r>
      <w:r w:rsidR="0072307E">
        <w:rPr>
          <w:rFonts w:ascii="Times New Roman" w:hAnsi="Times New Roman"/>
          <w:b/>
          <w:bCs/>
          <w:sz w:val="24"/>
          <w:szCs w:val="24"/>
          <w:lang w:val="uk-UA"/>
        </w:rPr>
        <w:t>ік (із змінами)</w:t>
      </w:r>
    </w:p>
    <w:p w:rsidR="00590313" w:rsidRDefault="00590313" w:rsidP="00B0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B04332" w:rsidRPr="00A219C6" w:rsidRDefault="00B04332" w:rsidP="00B0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A219C6">
        <w:rPr>
          <w:rFonts w:ascii="Times New Roman" w:hAnsi="Times New Roman"/>
          <w:sz w:val="28"/>
          <w:szCs w:val="28"/>
          <w:u w:val="single"/>
          <w:lang w:val="uk-UA"/>
        </w:rPr>
        <w:t>Міністерства у справах ветеранів України</w:t>
      </w:r>
    </w:p>
    <w:p w:rsidR="00B04332" w:rsidRPr="00A219C6" w:rsidRDefault="00B04332" w:rsidP="00B0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A219C6">
        <w:rPr>
          <w:rFonts w:ascii="Times New Roman" w:hAnsi="Times New Roman"/>
          <w:i/>
          <w:sz w:val="18"/>
          <w:szCs w:val="18"/>
          <w:lang w:val="uk-UA"/>
        </w:rPr>
        <w:t xml:space="preserve">  назва міністерства, іншого центрального органу виконавчої влади, Ради міністрів Автономної Республіки Крим, обласної, Київської </w:t>
      </w:r>
    </w:p>
    <w:p w:rsidR="00B04332" w:rsidRPr="00A219C6" w:rsidRDefault="00B04332" w:rsidP="00B04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A219C6">
        <w:rPr>
          <w:rFonts w:ascii="Times New Roman" w:hAnsi="Times New Roman"/>
          <w:i/>
          <w:sz w:val="18"/>
          <w:szCs w:val="18"/>
          <w:lang w:val="uk-UA"/>
        </w:rPr>
        <w:t xml:space="preserve">   та Севастопольської міських державних адміністрацій, іншого головного розпорядника коштів державного бюджету, далі – державний орган)</w:t>
      </w:r>
    </w:p>
    <w:p w:rsidR="00590313" w:rsidRDefault="00590313" w:rsidP="0072307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307E" w:rsidRPr="0072307E" w:rsidRDefault="0072307E" w:rsidP="0072307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pacing w:val="-4"/>
          <w:sz w:val="28"/>
          <w:szCs w:val="28"/>
          <w:lang w:val="uk-UA"/>
        </w:rPr>
      </w:pPr>
      <w:r w:rsidRPr="0072307E"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Pr="0072307E">
        <w:rPr>
          <w:rFonts w:ascii="Times New Roman" w:eastAsia="Times New Roman" w:hAnsi="Times New Roman"/>
          <w:b/>
          <w:bCs/>
          <w:spacing w:val="-4"/>
          <w:sz w:val="28"/>
          <w:szCs w:val="28"/>
          <w:lang w:val="uk-UA"/>
        </w:rPr>
        <w:t>ВНЕСЕННЯ ЗМІН ДО СТРАТЕГІЧНОГО ПЛАНУ ДІЯЛЬНОСТІ З ВНУТРІШНЬОГО АУДИТУ</w:t>
      </w:r>
      <w:r w:rsidRPr="0072307E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 xml:space="preserve"> ПОВ’ЯЗАНЕ З</w:t>
      </w:r>
      <w:r w:rsidRPr="0072307E">
        <w:rPr>
          <w:rFonts w:ascii="Times New Roman" w:hAnsi="Times New Roman"/>
          <w:bCs/>
          <w:spacing w:val="-4"/>
          <w:sz w:val="28"/>
          <w:szCs w:val="28"/>
          <w:lang w:val="uk-UA"/>
        </w:rPr>
        <w:t>:</w:t>
      </w:r>
    </w:p>
    <w:p w:rsidR="0072307E" w:rsidRPr="0072307E" w:rsidRDefault="0072307E" w:rsidP="00590313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призначенням</w:t>
      </w:r>
      <w:proofErr w:type="spellEnd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4 </w:t>
      </w:r>
      <w:proofErr w:type="spellStart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березня</w:t>
      </w:r>
      <w:proofErr w:type="spellEnd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2020 року</w:t>
      </w:r>
      <w:r w:rsidRPr="0072307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Сергія</w:t>
      </w:r>
      <w:proofErr w:type="spellEnd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Бессараба</w:t>
      </w:r>
      <w:proofErr w:type="spellEnd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Міністром</w:t>
      </w:r>
      <w:proofErr w:type="spellEnd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 справах</w:t>
      </w:r>
      <w:proofErr w:type="gramEnd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ветеранів</w:t>
      </w:r>
      <w:proofErr w:type="spellEnd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72307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72307E" w:rsidRPr="0072307E" w:rsidRDefault="0072307E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2307E">
        <w:rPr>
          <w:rFonts w:ascii="Times New Roman" w:hAnsi="Times New Roman"/>
          <w:bCs/>
          <w:sz w:val="28"/>
          <w:szCs w:val="28"/>
          <w:lang w:val="uk-UA"/>
        </w:rPr>
        <w:t>2) прийняттям постанови Кабінету Міністрів України від 11 березня 2020 р. № 212 «Деякі питання оптимізації системи центральних органів виконавчої влади» якою:</w:t>
      </w:r>
    </w:p>
    <w:p w:rsidR="0072307E" w:rsidRPr="0072307E" w:rsidRDefault="0072307E" w:rsidP="00590313">
      <w:pPr>
        <w:spacing w:before="120" w:after="12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72307E">
        <w:rPr>
          <w:rFonts w:ascii="Times New Roman" w:hAnsi="Times New Roman"/>
          <w:bCs/>
          <w:sz w:val="28"/>
          <w:szCs w:val="28"/>
          <w:lang w:val="uk-UA"/>
        </w:rPr>
        <w:t xml:space="preserve"> в</w:t>
      </w:r>
      <w:r w:rsidRPr="0072307E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ідмінено рішення про реорганізацію Міністерства з питань тимчасово окупованих територій та внутрішньо переміщених осіб шляхом приєднання до Міністерства у справах ветеранів, тимчасово окупованих територій та внутрішньо переміщених осіб;</w:t>
      </w:r>
    </w:p>
    <w:p w:rsidR="0072307E" w:rsidRPr="0072307E" w:rsidRDefault="0072307E" w:rsidP="0059031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bookmarkStart w:id="0" w:name="n6"/>
      <w:bookmarkEnd w:id="0"/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Міністерство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gram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 справах</w:t>
      </w:r>
      <w:proofErr w:type="gram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ветеранів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тимчасово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окупованих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територій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внутрішньо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переміщених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осіб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перейменовано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bookmarkStart w:id="1" w:name="n7"/>
      <w:bookmarkEnd w:id="1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на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Міністерство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у справах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ветеранів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="009B5F9D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;</w:t>
      </w:r>
    </w:p>
    <w:p w:rsidR="0072307E" w:rsidRPr="0072307E" w:rsidRDefault="0072307E" w:rsidP="00590313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bookmarkStart w:id="2" w:name="n8"/>
      <w:bookmarkStart w:id="3" w:name="n10"/>
      <w:bookmarkEnd w:id="2"/>
      <w:bookmarkEnd w:id="3"/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визначено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що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Міністерство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у справах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ветеранів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забезпечує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формування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реалізує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державну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політику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у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сфері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соціального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захисту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ветеранів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війни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осіб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які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мають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особливі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заслуги перед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Батьківщиною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постраждалих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учасників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Революції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Гідності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членів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сімей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ветеранів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війни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осіб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які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мають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особливі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заслуги перед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Батьківщиною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постраждалих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учасників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Революції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Гідності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а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також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соціального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захисту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осіб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на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яких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поширюється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чинність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 </w:t>
      </w:r>
      <w:hyperlink r:id="rId8" w:tgtFrame="_blank" w:history="1">
        <w:r w:rsidRPr="0072307E">
          <w:rPr>
            <w:rFonts w:ascii="Times New Roman" w:eastAsia="Times New Roman" w:hAnsi="Times New Roman"/>
            <w:color w:val="000099"/>
            <w:sz w:val="28"/>
            <w:szCs w:val="28"/>
            <w:u w:val="single"/>
            <w:lang w:val="ru-RU" w:eastAsia="ru-RU"/>
          </w:rPr>
          <w:t xml:space="preserve">Закону </w:t>
        </w:r>
        <w:proofErr w:type="spellStart"/>
        <w:r w:rsidRPr="0072307E">
          <w:rPr>
            <w:rFonts w:ascii="Times New Roman" w:eastAsia="Times New Roman" w:hAnsi="Times New Roman"/>
            <w:color w:val="000099"/>
            <w:sz w:val="28"/>
            <w:szCs w:val="28"/>
            <w:u w:val="single"/>
            <w:lang w:val="ru-RU" w:eastAsia="ru-RU"/>
          </w:rPr>
          <w:t>України</w:t>
        </w:r>
        <w:proofErr w:type="spellEnd"/>
      </w:hyperlink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 “Про статус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ветеранів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війни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гарантії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їх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соціального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захисту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”,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отже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зменшено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коло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функцій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;</w:t>
      </w:r>
    </w:p>
    <w:p w:rsidR="00CA3A7D" w:rsidRPr="00CA3A7D" w:rsidRDefault="009B5F9D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3</w:t>
      </w:r>
      <w:r w:rsidR="0072307E" w:rsidRPr="0072307E">
        <w:rPr>
          <w:rFonts w:ascii="Times New Roman" w:hAnsi="Times New Roman"/>
          <w:bCs/>
          <w:sz w:val="28"/>
          <w:szCs w:val="28"/>
          <w:lang w:val="ru-RU"/>
        </w:rPr>
        <w:t xml:space="preserve">)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прийняттям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постанови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Кабінету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Міністрів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України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від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15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квітня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2020 р. № 276 «Про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внесення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змін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до постанови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Кабінету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Міністрів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України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від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27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грудня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2018 р. № 1175»,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якою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Положення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про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Міністерство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у справах</w:t>
      </w:r>
      <w:proofErr w:type="gram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ветеранів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затверджено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новій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редакції</w:t>
      </w:r>
      <w:proofErr w:type="spellEnd"/>
      <w:r w:rsidR="00CA3A7D" w:rsidRPr="00CA3A7D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CA3A7D" w:rsidRPr="00CA3A7D" w:rsidRDefault="00CA3A7D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4)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введеням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наказом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Мінветеранів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від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04.05.2020 № 82 в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дію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нової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структури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Мінветеранів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відповідно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до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якої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в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структурі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Міністерства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здійснює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діяльність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Відділ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внутрішнього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контролю та аудиту у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кількості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5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працівників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; </w:t>
      </w:r>
    </w:p>
    <w:p w:rsidR="00CA3A7D" w:rsidRDefault="00CA3A7D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5)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скорочення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кількості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внутрішніх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аудиторів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з 6 </w:t>
      </w:r>
      <w:proofErr w:type="spellStart"/>
      <w:r w:rsidRPr="00CA3A7D">
        <w:rPr>
          <w:rFonts w:ascii="Times New Roman" w:hAnsi="Times New Roman"/>
          <w:bCs/>
          <w:sz w:val="28"/>
          <w:szCs w:val="28"/>
          <w:lang w:val="ru-RU"/>
        </w:rPr>
        <w:t>осіб</w:t>
      </w:r>
      <w:proofErr w:type="spellEnd"/>
      <w:r w:rsidRPr="00CA3A7D">
        <w:rPr>
          <w:rFonts w:ascii="Times New Roman" w:hAnsi="Times New Roman"/>
          <w:bCs/>
          <w:sz w:val="28"/>
          <w:szCs w:val="28"/>
          <w:lang w:val="ru-RU"/>
        </w:rPr>
        <w:t xml:space="preserve"> до </w:t>
      </w:r>
      <w:r w:rsidR="00590313">
        <w:rPr>
          <w:rFonts w:ascii="Times New Roman" w:hAnsi="Times New Roman"/>
          <w:bCs/>
          <w:sz w:val="28"/>
          <w:szCs w:val="28"/>
          <w:lang w:val="ru-RU"/>
        </w:rPr>
        <w:t>2,5</w:t>
      </w:r>
      <w:r w:rsidRPr="00CA3A7D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1B4E46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6) </w:t>
      </w:r>
      <w:proofErr w:type="spellStart"/>
      <w:r w:rsidR="0072307E" w:rsidRPr="0072307E">
        <w:rPr>
          <w:rFonts w:ascii="Times New Roman" w:hAnsi="Times New Roman"/>
          <w:bCs/>
          <w:sz w:val="28"/>
          <w:szCs w:val="28"/>
          <w:lang w:val="ru-RU"/>
        </w:rPr>
        <w:t>зменшенням</w:t>
      </w:r>
      <w:proofErr w:type="spellEnd"/>
      <w:r w:rsidR="0072307E" w:rsidRPr="0072307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72307E" w:rsidRPr="0072307E">
        <w:rPr>
          <w:rFonts w:ascii="Times New Roman" w:hAnsi="Times New Roman"/>
          <w:bCs/>
          <w:sz w:val="28"/>
          <w:szCs w:val="28"/>
          <w:lang w:val="ru-RU"/>
        </w:rPr>
        <w:t>робочого</w:t>
      </w:r>
      <w:proofErr w:type="spellEnd"/>
      <w:r w:rsidR="0072307E" w:rsidRPr="0072307E">
        <w:rPr>
          <w:rFonts w:ascii="Times New Roman" w:hAnsi="Times New Roman"/>
          <w:bCs/>
          <w:sz w:val="28"/>
          <w:szCs w:val="28"/>
          <w:lang w:val="ru-RU"/>
        </w:rPr>
        <w:t xml:space="preserve"> часу на </w:t>
      </w:r>
      <w:proofErr w:type="spellStart"/>
      <w:r w:rsidR="0072307E" w:rsidRPr="0072307E">
        <w:rPr>
          <w:rFonts w:ascii="Times New Roman" w:hAnsi="Times New Roman"/>
          <w:bCs/>
          <w:sz w:val="28"/>
          <w:szCs w:val="28"/>
          <w:lang w:val="ru-RU"/>
        </w:rPr>
        <w:t>проведення</w:t>
      </w:r>
      <w:proofErr w:type="spellEnd"/>
      <w:r w:rsidR="0072307E" w:rsidRPr="0072307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B4E46">
        <w:rPr>
          <w:rFonts w:ascii="Times New Roman" w:hAnsi="Times New Roman"/>
          <w:bCs/>
          <w:sz w:val="28"/>
          <w:szCs w:val="28"/>
          <w:lang w:val="ru-RU"/>
        </w:rPr>
        <w:t xml:space="preserve">аудиту, </w:t>
      </w:r>
      <w:proofErr w:type="spellStart"/>
      <w:r w:rsidR="001B4E46">
        <w:rPr>
          <w:rFonts w:ascii="Times New Roman" w:hAnsi="Times New Roman"/>
          <w:bCs/>
          <w:sz w:val="28"/>
          <w:szCs w:val="28"/>
          <w:lang w:val="ru-RU"/>
        </w:rPr>
        <w:t>розпочатого</w:t>
      </w:r>
      <w:proofErr w:type="spellEnd"/>
      <w:r w:rsidR="001B4E46">
        <w:rPr>
          <w:rFonts w:ascii="Times New Roman" w:hAnsi="Times New Roman"/>
          <w:bCs/>
          <w:sz w:val="28"/>
          <w:szCs w:val="28"/>
          <w:lang w:val="ru-RU"/>
        </w:rPr>
        <w:t xml:space="preserve"> у 2019 </w:t>
      </w:r>
      <w:proofErr w:type="spellStart"/>
      <w:r w:rsidR="001B4E46">
        <w:rPr>
          <w:rFonts w:ascii="Times New Roman" w:hAnsi="Times New Roman"/>
          <w:bCs/>
          <w:sz w:val="28"/>
          <w:szCs w:val="28"/>
          <w:lang w:val="ru-RU"/>
        </w:rPr>
        <w:t>році</w:t>
      </w:r>
      <w:proofErr w:type="spellEnd"/>
      <w:r w:rsidR="001B4E46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72307E" w:rsidRPr="0072307E" w:rsidRDefault="001B4E46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7)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заповнення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вакантної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посади.</w:t>
      </w:r>
      <w:r w:rsidR="0072307E" w:rsidRPr="0072307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2307E" w:rsidRDefault="0072307E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2307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Обґрунтування щодо внесення змін до </w:t>
      </w:r>
      <w:r w:rsidRPr="00B835C7">
        <w:rPr>
          <w:rFonts w:ascii="Times New Roman" w:eastAsia="Times New Roman" w:hAnsi="Times New Roman"/>
          <w:bCs/>
          <w:sz w:val="28"/>
          <w:szCs w:val="28"/>
          <w:lang w:val="uk-UA"/>
        </w:rPr>
        <w:t>операційного</w:t>
      </w:r>
      <w:r w:rsidRPr="0072307E">
        <w:rPr>
          <w:rFonts w:ascii="Times New Roman" w:hAnsi="Times New Roman"/>
          <w:sz w:val="28"/>
          <w:szCs w:val="28"/>
          <w:lang w:val="uk-UA"/>
        </w:rPr>
        <w:t xml:space="preserve"> плану діяльності </w:t>
      </w:r>
      <w:r w:rsidRPr="0072307E">
        <w:rPr>
          <w:rFonts w:ascii="Times New Roman" w:hAnsi="Times New Roman"/>
          <w:bCs/>
          <w:sz w:val="28"/>
          <w:szCs w:val="28"/>
          <w:lang w:val="uk-UA"/>
        </w:rPr>
        <w:t xml:space="preserve">з внутрішнього аудиту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Міністерства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у справах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ветеранів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Pr="0072307E">
        <w:rPr>
          <w:rFonts w:ascii="Times New Roman" w:hAnsi="Times New Roman"/>
          <w:bCs/>
          <w:sz w:val="28"/>
          <w:szCs w:val="28"/>
          <w:lang w:val="uk-UA"/>
        </w:rPr>
        <w:t>на 2020 р</w:t>
      </w:r>
      <w:r w:rsidR="00B835C7" w:rsidRPr="00B835C7">
        <w:rPr>
          <w:rFonts w:ascii="Times New Roman" w:hAnsi="Times New Roman"/>
          <w:bCs/>
          <w:sz w:val="28"/>
          <w:szCs w:val="28"/>
          <w:lang w:val="uk-UA"/>
        </w:rPr>
        <w:t>ік,</w:t>
      </w:r>
      <w:r w:rsidRPr="0072307E">
        <w:rPr>
          <w:rFonts w:ascii="Times New Roman" w:hAnsi="Times New Roman"/>
          <w:bCs/>
          <w:sz w:val="28"/>
          <w:szCs w:val="28"/>
          <w:lang w:val="uk-UA"/>
        </w:rPr>
        <w:t xml:space="preserve"> затвердженого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Міністром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у справах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ветеранів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України</w:t>
      </w:r>
      <w:proofErr w:type="spellEnd"/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«_</w:t>
      </w:r>
      <w:r w:rsidR="00641EA7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28</w:t>
      </w:r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_»_</w:t>
      </w:r>
      <w:r w:rsidR="00641EA7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грудня</w:t>
      </w:r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_20</w:t>
      </w:r>
      <w:r w:rsidR="00BE7BA2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19</w:t>
      </w:r>
      <w:r w:rsidRPr="0072307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року</w:t>
      </w:r>
      <w:r w:rsidRPr="0072307E">
        <w:rPr>
          <w:rFonts w:ascii="Times New Roman" w:hAnsi="Times New Roman"/>
          <w:bCs/>
          <w:sz w:val="28"/>
          <w:szCs w:val="28"/>
          <w:lang w:val="uk-UA"/>
        </w:rPr>
        <w:t xml:space="preserve">, наведено у додатку до цього </w:t>
      </w:r>
      <w:r w:rsidR="00B835C7" w:rsidRPr="00B835C7">
        <w:rPr>
          <w:rFonts w:ascii="Times New Roman" w:hAnsi="Times New Roman"/>
          <w:bCs/>
          <w:sz w:val="28"/>
          <w:szCs w:val="28"/>
          <w:lang w:val="uk-UA"/>
        </w:rPr>
        <w:t xml:space="preserve">операційного </w:t>
      </w:r>
      <w:r w:rsidRPr="0072307E">
        <w:rPr>
          <w:rFonts w:ascii="Times New Roman" w:hAnsi="Times New Roman"/>
          <w:bCs/>
          <w:sz w:val="28"/>
          <w:szCs w:val="28"/>
          <w:lang w:val="uk-UA"/>
        </w:rPr>
        <w:t>плану.</w:t>
      </w: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0313" w:rsidRDefault="00590313" w:rsidP="00590313">
      <w:pPr>
        <w:spacing w:before="120"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54441" w:rsidRDefault="0008323F" w:rsidP="00C1121F">
      <w:pPr>
        <w:spacing w:before="120" w:after="120" w:line="240" w:lineRule="auto"/>
        <w:ind w:firstLine="56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І. </w:t>
      </w:r>
      <w:r w:rsidR="00054ADD">
        <w:rPr>
          <w:rFonts w:ascii="Times New Roman" w:hAnsi="Times New Roman"/>
          <w:b/>
          <w:sz w:val="24"/>
          <w:szCs w:val="24"/>
          <w:lang w:val="uk-UA"/>
        </w:rPr>
        <w:t>ПРОВЕДЕННЯ ВНУТРІШНІХ АУДИТІВ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843"/>
        <w:gridCol w:w="5245"/>
        <w:gridCol w:w="2126"/>
        <w:gridCol w:w="1276"/>
        <w:gridCol w:w="1134"/>
        <w:gridCol w:w="992"/>
        <w:gridCol w:w="850"/>
      </w:tblGrid>
      <w:tr w:rsidR="00E33E5D" w:rsidRPr="0038671F" w:rsidTr="00B835C7">
        <w:trPr>
          <w:trHeight w:val="1295"/>
        </w:trPr>
        <w:tc>
          <w:tcPr>
            <w:tcW w:w="426" w:type="dxa"/>
            <w:shd w:val="clear" w:color="auto" w:fill="DEEAF6"/>
            <w:vAlign w:val="center"/>
          </w:tcPr>
          <w:p w:rsidR="00E33E5D" w:rsidRPr="006C1262" w:rsidRDefault="00E33E5D" w:rsidP="00DD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C1262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E33E5D" w:rsidRPr="000127D2" w:rsidRDefault="00DA7197" w:rsidP="00DD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C1262">
              <w:rPr>
                <w:rFonts w:ascii="Times New Roman" w:hAnsi="Times New Roman"/>
                <w:b/>
                <w:i/>
                <w:sz w:val="18"/>
                <w:szCs w:val="18"/>
              </w:rPr>
              <w:t>Об’єкт внутрішнього аудиту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E33E5D" w:rsidRPr="006C1262" w:rsidRDefault="00DA7197" w:rsidP="00DD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Підстава для </w:t>
            </w:r>
            <w:r w:rsidR="00D74C1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включення об’єкту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5245" w:type="dxa"/>
            <w:shd w:val="clear" w:color="auto" w:fill="DEEAF6"/>
            <w:vAlign w:val="center"/>
          </w:tcPr>
          <w:p w:rsidR="00E33E5D" w:rsidRPr="006C1262" w:rsidRDefault="00403599" w:rsidP="00DD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12CC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Орієнтовний обсяг </w:t>
            </w:r>
            <w:r w:rsidR="00B4734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дослідження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E33E5D" w:rsidRPr="006C1262" w:rsidRDefault="00E33E5D" w:rsidP="00DD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864D6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Назва </w:t>
            </w:r>
            <w:r w:rsidR="00864D6E" w:rsidRPr="00864D6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структурного підрозділу/</w:t>
            </w:r>
            <w:r w:rsidRPr="00864D6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установи/підприємства/</w:t>
            </w:r>
            <w:proofErr w:type="spellStart"/>
            <w:r w:rsidRPr="00864D6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орга</w:t>
            </w:r>
            <w:r w:rsidR="005E58D8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-</w:t>
            </w:r>
            <w:r w:rsidRPr="00864D6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нізації</w:t>
            </w:r>
            <w:proofErr w:type="spellEnd"/>
            <w:r w:rsidRPr="00864D6E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 в якій</w:t>
            </w:r>
            <w:r w:rsidRPr="006C1262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проводи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ться</w:t>
            </w:r>
            <w:r w:rsidRPr="006C1262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внутрішній аудит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E33E5D" w:rsidRPr="00E33E5D" w:rsidRDefault="00E33E5D" w:rsidP="00DD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E33E5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Період, що охоплюється внутрішнім аудитом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E33E5D" w:rsidRPr="006C1262" w:rsidRDefault="00E33E5D" w:rsidP="00DD5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6C1262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Термін </w:t>
            </w:r>
            <w:r w:rsidRPr="006C1262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проведення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внутрішнього аудиту</w:t>
            </w:r>
          </w:p>
        </w:tc>
        <w:tc>
          <w:tcPr>
            <w:tcW w:w="992" w:type="dxa"/>
            <w:shd w:val="clear" w:color="auto" w:fill="DEEAF6"/>
            <w:textDirection w:val="btLr"/>
            <w:vAlign w:val="center"/>
          </w:tcPr>
          <w:p w:rsidR="00E33E5D" w:rsidRPr="00B835C7" w:rsidRDefault="00E33E5D" w:rsidP="00DD5E4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pacing w:val="-10"/>
                <w:sz w:val="16"/>
                <w:szCs w:val="16"/>
                <w:lang w:val="uk-UA"/>
              </w:rPr>
            </w:pPr>
            <w:r w:rsidRPr="00B835C7">
              <w:rPr>
                <w:rFonts w:ascii="Times New Roman" w:hAnsi="Times New Roman"/>
                <w:b/>
                <w:i/>
                <w:spacing w:val="-10"/>
                <w:sz w:val="16"/>
                <w:szCs w:val="16"/>
                <w:lang w:val="uk-UA"/>
              </w:rPr>
              <w:t xml:space="preserve">Робочі дні на проведення внутрішнього аудиту, </w:t>
            </w:r>
            <w:r w:rsidRPr="00B835C7">
              <w:rPr>
                <w:rFonts w:ascii="Times New Roman" w:hAnsi="Times New Roman"/>
                <w:i/>
                <w:spacing w:val="-10"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850" w:type="dxa"/>
            <w:shd w:val="clear" w:color="auto" w:fill="DEEAF6"/>
            <w:textDirection w:val="btLr"/>
            <w:vAlign w:val="center"/>
          </w:tcPr>
          <w:p w:rsidR="00E33E5D" w:rsidRPr="00B835C7" w:rsidRDefault="00E33E5D" w:rsidP="00DD5E4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pacing w:val="-10"/>
                <w:sz w:val="16"/>
                <w:szCs w:val="16"/>
                <w:lang w:val="uk-UA"/>
              </w:rPr>
            </w:pPr>
            <w:r w:rsidRPr="00B835C7">
              <w:rPr>
                <w:rFonts w:ascii="Times New Roman" w:hAnsi="Times New Roman"/>
                <w:b/>
                <w:i/>
                <w:spacing w:val="-10"/>
                <w:sz w:val="16"/>
                <w:szCs w:val="16"/>
                <w:lang w:val="uk-UA"/>
              </w:rPr>
              <w:t xml:space="preserve">Задіяні внутрішні аудитори, </w:t>
            </w:r>
            <w:r w:rsidRPr="00B835C7">
              <w:rPr>
                <w:rFonts w:ascii="Times New Roman" w:hAnsi="Times New Roman"/>
                <w:i/>
                <w:spacing w:val="-10"/>
                <w:sz w:val="16"/>
                <w:szCs w:val="16"/>
                <w:lang w:val="uk-UA"/>
              </w:rPr>
              <w:t>кількість</w:t>
            </w:r>
          </w:p>
        </w:tc>
      </w:tr>
      <w:tr w:rsidR="00E33E5D" w:rsidRPr="0038671F" w:rsidTr="00B835C7">
        <w:trPr>
          <w:trHeight w:val="47"/>
        </w:trPr>
        <w:tc>
          <w:tcPr>
            <w:tcW w:w="426" w:type="dxa"/>
            <w:shd w:val="clear" w:color="auto" w:fill="DEEAF6"/>
            <w:vAlign w:val="center"/>
          </w:tcPr>
          <w:p w:rsidR="00E33E5D" w:rsidRPr="00BC53FC" w:rsidRDefault="00E33E5D" w:rsidP="00BC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E33E5D" w:rsidRPr="00BC53FC" w:rsidRDefault="00E33E5D" w:rsidP="00BC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E33E5D" w:rsidRPr="00BC53FC" w:rsidRDefault="00E33E5D" w:rsidP="00BC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245" w:type="dxa"/>
            <w:shd w:val="clear" w:color="auto" w:fill="DEEAF6"/>
            <w:vAlign w:val="center"/>
          </w:tcPr>
          <w:p w:rsidR="00E33E5D" w:rsidRPr="00BC53FC" w:rsidRDefault="00E33E5D" w:rsidP="00BC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E33E5D" w:rsidRPr="00BC53FC" w:rsidRDefault="00E33E5D" w:rsidP="00BC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E33E5D" w:rsidRPr="00BC53FC" w:rsidRDefault="00E33E5D" w:rsidP="00BC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E33E5D" w:rsidRPr="00BC53FC" w:rsidRDefault="00E33E5D" w:rsidP="00BC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shd w:val="clear" w:color="auto" w:fill="DEEAF6"/>
            <w:vAlign w:val="center"/>
          </w:tcPr>
          <w:p w:rsidR="00E33E5D" w:rsidRPr="00BC53FC" w:rsidRDefault="00E33E5D" w:rsidP="00BC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DEEAF6"/>
            <w:vAlign w:val="center"/>
          </w:tcPr>
          <w:p w:rsidR="00E33E5D" w:rsidRPr="00BC53FC" w:rsidRDefault="00E33E5D" w:rsidP="00BC5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EE0B44" w:rsidRPr="00EA052E" w:rsidTr="00B835C7">
        <w:trPr>
          <w:trHeight w:val="47"/>
        </w:trPr>
        <w:tc>
          <w:tcPr>
            <w:tcW w:w="15309" w:type="dxa"/>
            <w:gridSpan w:val="9"/>
            <w:shd w:val="clear" w:color="auto" w:fill="auto"/>
            <w:vAlign w:val="center"/>
          </w:tcPr>
          <w:p w:rsidR="00EE0B44" w:rsidRPr="00EA052E" w:rsidRDefault="00EE0B44" w:rsidP="00EE0B4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EA052E">
              <w:rPr>
                <w:rFonts w:ascii="Times New Roman" w:hAnsi="Times New Roman"/>
                <w:b/>
                <w:lang w:val="uk-UA"/>
              </w:rPr>
              <w:t>Пріоритетні об’єкти внутрішнього аудиту зі Стратегічного плану (включено за результатами оцінки ризиків):</w:t>
            </w:r>
          </w:p>
        </w:tc>
      </w:tr>
      <w:tr w:rsidR="001B3068" w:rsidRPr="00E33E5D" w:rsidTr="00B835C7">
        <w:trPr>
          <w:trHeight w:val="47"/>
        </w:trPr>
        <w:tc>
          <w:tcPr>
            <w:tcW w:w="426" w:type="dxa"/>
            <w:shd w:val="clear" w:color="auto" w:fill="auto"/>
            <w:vAlign w:val="center"/>
          </w:tcPr>
          <w:p w:rsidR="001B3068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3068" w:rsidRDefault="001B3068" w:rsidP="001B3068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бюджетними коштами</w:t>
            </w:r>
          </w:p>
          <w:p w:rsidR="001B3068" w:rsidRPr="00E33E5D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3068" w:rsidRPr="00666CC9" w:rsidRDefault="001B3068" w:rsidP="003B41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AEB">
              <w:rPr>
                <w:rFonts w:ascii="Times New Roman" w:hAnsi="Times New Roman"/>
                <w:spacing w:val="-16"/>
                <w:sz w:val="24"/>
                <w:szCs w:val="24"/>
                <w:lang w:val="uk-UA"/>
              </w:rPr>
              <w:t>Стратегічний</w:t>
            </w: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діяльності з внутрішнього аудиту </w:t>
            </w: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  <w:p w:rsidR="001B3068" w:rsidRPr="001B3068" w:rsidRDefault="001B3068" w:rsidP="003B41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306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2020-202</w:t>
            </w:r>
            <w:r w:rsidRPr="001B306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2</w:t>
            </w:r>
            <w:r w:rsidRPr="001B306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3068" w:rsidRPr="009C16AD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D50702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Оцінка дотримання актів законодавства, виконання планів, процедур, контрактів, досягнення цілей, визначених у планах, правильності, відповідності та достовірності звітності, при виконанні управлінських функцій та оцінки стану і механізмів внутрішнього контролю.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3068" w:rsidRPr="00666CC9" w:rsidRDefault="001B3068" w:rsidP="003B41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Громадська спілка «Всеукраїнська </w:t>
            </w:r>
            <w:r w:rsidRPr="001B306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ветеранська спілка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добровольців, учасників бойових дій та інвалідів війни»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068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Проекти.</w:t>
            </w:r>
          </w:p>
          <w:p w:rsidR="001B3068" w:rsidRPr="00DD43BF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здійсненні у 2019 році за рахунок коштів Державного бюджету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68" w:rsidRDefault="00B835C7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півріччя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068" w:rsidRPr="00666CC9" w:rsidRDefault="009B5F9D" w:rsidP="009B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3068" w:rsidRPr="008C76D7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B3068" w:rsidRPr="00E33E5D" w:rsidTr="00B835C7">
        <w:trPr>
          <w:trHeight w:val="47"/>
        </w:trPr>
        <w:tc>
          <w:tcPr>
            <w:tcW w:w="426" w:type="dxa"/>
            <w:shd w:val="clear" w:color="auto" w:fill="auto"/>
            <w:vAlign w:val="center"/>
          </w:tcPr>
          <w:p w:rsidR="001B3068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3068" w:rsidRDefault="001B3068" w:rsidP="001B3068">
            <w:pPr>
              <w:spacing w:before="240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бюджетними коштами</w:t>
            </w:r>
          </w:p>
          <w:p w:rsidR="001B3068" w:rsidRPr="00E33E5D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3068" w:rsidRPr="00666CC9" w:rsidRDefault="001B3068" w:rsidP="003B41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AEB">
              <w:rPr>
                <w:rFonts w:ascii="Times New Roman" w:hAnsi="Times New Roman"/>
                <w:spacing w:val="-16"/>
                <w:sz w:val="24"/>
                <w:szCs w:val="24"/>
                <w:lang w:val="uk-UA"/>
              </w:rPr>
              <w:t>Стратегічний</w:t>
            </w: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діяльності з внутрішнього аудиту </w:t>
            </w: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  <w:p w:rsidR="001B3068" w:rsidRPr="003B41F9" w:rsidRDefault="001B3068" w:rsidP="003B41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</w:pP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41F9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2020-202</w:t>
            </w:r>
            <w:r w:rsidRPr="003B41F9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2</w:t>
            </w:r>
            <w:r w:rsidRPr="003B41F9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3068" w:rsidRPr="00666CC9" w:rsidRDefault="003B41F9" w:rsidP="001B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702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Оцінка дотримання актів законодавства, виконання планів, процедур, контрактів, досягнення цілей, визначених у планах, правильності, відповідності та достовірності звітності, при виконанні управлінських функцій та оцінки стану і механізмів внутрішнього контролю.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3068" w:rsidRPr="00666CC9" w:rsidRDefault="001B3068" w:rsidP="003B41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Громадська спілка «Всеукраїнське об’єднання учасників бойових дій та волонтерів АТО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068" w:rsidRPr="008C76D7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C76D7">
              <w:rPr>
                <w:rFonts w:ascii="Times New Roman" w:hAnsi="Times New Roman"/>
                <w:sz w:val="20"/>
                <w:szCs w:val="20"/>
                <w:lang w:val="uk-UA"/>
              </w:rPr>
              <w:t>Проекти.</w:t>
            </w:r>
          </w:p>
          <w:p w:rsidR="001B3068" w:rsidRPr="00666CC9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C76D7">
              <w:rPr>
                <w:rFonts w:ascii="Times New Roman" w:hAnsi="Times New Roman"/>
                <w:sz w:val="20"/>
                <w:szCs w:val="20"/>
                <w:lang w:val="uk-UA"/>
              </w:rPr>
              <w:t>здійсненні у 2018-2019 роках за рахунок коштів Державного бюджету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68" w:rsidRPr="003B41F9" w:rsidRDefault="00B835C7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півріччя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068" w:rsidRPr="009B5F9D" w:rsidRDefault="009B5F9D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3068" w:rsidRPr="00666CC9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1B3068" w:rsidRPr="00E33E5D" w:rsidTr="00B835C7">
        <w:trPr>
          <w:trHeight w:val="47"/>
        </w:trPr>
        <w:tc>
          <w:tcPr>
            <w:tcW w:w="426" w:type="dxa"/>
            <w:shd w:val="clear" w:color="auto" w:fill="auto"/>
            <w:vAlign w:val="center"/>
          </w:tcPr>
          <w:p w:rsidR="001B3068" w:rsidRDefault="003B41F9" w:rsidP="003B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3068" w:rsidRDefault="001B3068" w:rsidP="003B4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507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державним майном та ресурсами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3068" w:rsidRPr="00666CC9" w:rsidRDefault="001B3068" w:rsidP="003B41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3AEB">
              <w:rPr>
                <w:rFonts w:ascii="Times New Roman" w:hAnsi="Times New Roman"/>
                <w:spacing w:val="-16"/>
                <w:sz w:val="24"/>
                <w:szCs w:val="24"/>
                <w:lang w:val="uk-UA"/>
              </w:rPr>
              <w:t>Стратегічний</w:t>
            </w: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діяльності з внутрішнього аудиту </w:t>
            </w: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>на</w:t>
            </w:r>
          </w:p>
          <w:p w:rsidR="001B3068" w:rsidRPr="001B3068" w:rsidRDefault="001B3068" w:rsidP="003B41F9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B306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2020-202</w:t>
            </w:r>
            <w:r w:rsidRPr="001B3068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2</w:t>
            </w:r>
            <w:r w:rsidRPr="001B3068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3068" w:rsidRPr="009C16AD" w:rsidRDefault="001B3068" w:rsidP="003B4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9C16AD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Оцінка </w:t>
            </w:r>
            <w:r w:rsidRPr="0097026D">
              <w:rPr>
                <w:rFonts w:ascii="Times New Roman" w:hAnsi="Times New Roman"/>
                <w:sz w:val="24"/>
                <w:szCs w:val="24"/>
                <w:lang w:val="uk-UA"/>
              </w:rPr>
              <w:t>ефективності, результативності та якості виконання завдань, функцій і процесів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702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раціонального використання </w:t>
            </w:r>
            <w:r w:rsidRPr="00975C6B">
              <w:rPr>
                <w:rFonts w:ascii="Times New Roman" w:hAnsi="Times New Roman"/>
                <w:sz w:val="24"/>
                <w:szCs w:val="24"/>
                <w:lang w:val="uk-UA"/>
              </w:rPr>
              <w:t>бюджетни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975C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кошт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3068" w:rsidRPr="00666CC9" w:rsidRDefault="001B3068" w:rsidP="003B41F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C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адміністративно-господарського  забезпечення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068" w:rsidRPr="00DD43BF" w:rsidRDefault="001B3068" w:rsidP="003B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D43BF">
              <w:rPr>
                <w:rFonts w:ascii="Times New Roman" w:hAnsi="Times New Roman"/>
                <w:sz w:val="20"/>
                <w:szCs w:val="20"/>
                <w:lang w:val="uk-UA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-2019</w:t>
            </w:r>
            <w:r w:rsidRPr="00DD43B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роки та відповідний період </w:t>
            </w:r>
          </w:p>
          <w:p w:rsidR="001B3068" w:rsidRPr="00666CC9" w:rsidRDefault="001B3068" w:rsidP="003B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43BF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DD43B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3068" w:rsidRPr="00DD43BF" w:rsidRDefault="00B835C7" w:rsidP="003B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ІІ півріччя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068" w:rsidRPr="009B5F9D" w:rsidRDefault="001B3068" w:rsidP="009B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9B5F9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3068" w:rsidRPr="008C76D7" w:rsidRDefault="001B3068" w:rsidP="003B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1B3068" w:rsidRPr="00EA052E" w:rsidTr="00B835C7">
        <w:trPr>
          <w:trHeight w:val="47"/>
        </w:trPr>
        <w:tc>
          <w:tcPr>
            <w:tcW w:w="15309" w:type="dxa"/>
            <w:gridSpan w:val="9"/>
            <w:shd w:val="clear" w:color="auto" w:fill="auto"/>
            <w:vAlign w:val="center"/>
          </w:tcPr>
          <w:p w:rsidR="001B3068" w:rsidRPr="00EA052E" w:rsidRDefault="001B3068" w:rsidP="001B30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EA052E">
              <w:rPr>
                <w:rFonts w:ascii="Times New Roman" w:hAnsi="Times New Roman"/>
                <w:b/>
                <w:lang w:val="uk-UA"/>
              </w:rPr>
              <w:t>Об’єкти внутрішнього аудиту, стосовно яких не завершено проведення планових внутрішніх аудитів у попередньому році:</w:t>
            </w:r>
          </w:p>
        </w:tc>
      </w:tr>
      <w:tr w:rsidR="001B3068" w:rsidRPr="00E33E5D" w:rsidTr="00B835C7">
        <w:trPr>
          <w:trHeight w:val="47"/>
        </w:trPr>
        <w:tc>
          <w:tcPr>
            <w:tcW w:w="426" w:type="dxa"/>
            <w:shd w:val="clear" w:color="auto" w:fill="auto"/>
            <w:vAlign w:val="center"/>
          </w:tcPr>
          <w:p w:rsidR="001B3068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3068" w:rsidRPr="006C7590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3068" w:rsidRPr="006C7590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590">
              <w:rPr>
                <w:rFonts w:ascii="Times New Roman" w:hAnsi="Times New Roman"/>
                <w:sz w:val="24"/>
                <w:szCs w:val="24"/>
                <w:lang w:val="uk-UA"/>
              </w:rPr>
              <w:t>Стратегічний план діяльності з внутрішнього аудиту на</w:t>
            </w:r>
          </w:p>
          <w:p w:rsidR="001B3068" w:rsidRPr="00666CC9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75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6C7590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C759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B3068" w:rsidRPr="00666CC9" w:rsidRDefault="003B41F9" w:rsidP="003B4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1F9">
              <w:rPr>
                <w:rFonts w:ascii="Times New Roman" w:hAnsi="Times New Roman"/>
                <w:sz w:val="24"/>
                <w:szCs w:val="24"/>
                <w:lang w:val="uk-UA"/>
              </w:rPr>
              <w:t>Оцінка дотримання актів законодавства, виконання планів, процедур, контрактів, досягнення цілей, визначених у планах, правильності, відповідності та достовірності звітності, при виконанні управлінських функцій та оцінки стану і механізмів внутрішнього контролю.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3068" w:rsidRPr="006C7590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uk-UA"/>
              </w:rPr>
            </w:pPr>
            <w:r w:rsidRPr="001B3068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організація “Всеукраїнське об’єднання учасників бойових дій”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3068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</w:p>
          <w:p w:rsidR="001B3068" w:rsidRPr="00D669BD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  <w:r w:rsidRPr="00D669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1B3068" w:rsidRPr="00D669BD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B3068" w:rsidRPr="00D669BD" w:rsidRDefault="001B3068" w:rsidP="00B8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69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</w:t>
            </w:r>
            <w:r w:rsidR="00B835C7">
              <w:rPr>
                <w:rFonts w:ascii="Times New Roman" w:hAnsi="Times New Roman"/>
                <w:sz w:val="20"/>
                <w:szCs w:val="20"/>
                <w:lang w:val="uk-UA"/>
              </w:rPr>
              <w:t>півріччя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3068" w:rsidRPr="00B835C7" w:rsidRDefault="00B835C7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3068" w:rsidRPr="00D669BD" w:rsidRDefault="001B3068" w:rsidP="001B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669B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76925" w:rsidRPr="00B407AE" w:rsidRDefault="00EA4619" w:rsidP="00517699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B407AE">
        <w:rPr>
          <w:rFonts w:ascii="Times New Roman" w:hAnsi="Times New Roman"/>
          <w:b/>
          <w:sz w:val="24"/>
          <w:szCs w:val="24"/>
          <w:lang w:val="uk-UA"/>
        </w:rPr>
        <w:lastRenderedPageBreak/>
        <w:t>І</w:t>
      </w:r>
      <w:r w:rsidR="00C1121F" w:rsidRPr="00B407AE">
        <w:rPr>
          <w:rFonts w:ascii="Times New Roman" w:hAnsi="Times New Roman"/>
          <w:b/>
          <w:sz w:val="24"/>
          <w:szCs w:val="24"/>
          <w:lang w:val="uk-UA"/>
        </w:rPr>
        <w:t>І</w:t>
      </w:r>
      <w:r w:rsidR="00F725EF" w:rsidRPr="00B407AE">
        <w:rPr>
          <w:rFonts w:ascii="Times New Roman" w:hAnsi="Times New Roman"/>
          <w:b/>
          <w:sz w:val="24"/>
          <w:szCs w:val="24"/>
        </w:rPr>
        <w:t xml:space="preserve">. </w:t>
      </w:r>
      <w:r w:rsidR="00F725EF" w:rsidRPr="00B40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ЗДІЙСНЕННЯ ІНШОЇ ДІЯЛЬНОСТІ З ВНУТРІШНЬОГО АУДИТУ</w:t>
      </w:r>
    </w:p>
    <w:tbl>
      <w:tblPr>
        <w:tblpPr w:leftFromText="180" w:rightFromText="180" w:vertAnchor="text" w:horzAnchor="margin" w:tblpX="114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6662"/>
        <w:gridCol w:w="1134"/>
        <w:gridCol w:w="709"/>
        <w:gridCol w:w="709"/>
      </w:tblGrid>
      <w:tr w:rsidR="00EE0B44" w:rsidRPr="0038671F" w:rsidTr="00923E20">
        <w:trPr>
          <w:trHeight w:val="1969"/>
        </w:trPr>
        <w:tc>
          <w:tcPr>
            <w:tcW w:w="5637" w:type="dxa"/>
            <w:shd w:val="clear" w:color="auto" w:fill="DEEAF6"/>
            <w:vAlign w:val="center"/>
          </w:tcPr>
          <w:p w:rsidR="00EE0B44" w:rsidRPr="00A527F6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527F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Підстава для включення іншої діяльності з внутрішнього аудиту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EE0B44" w:rsidRPr="00A527F6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527F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6662" w:type="dxa"/>
            <w:shd w:val="clear" w:color="auto" w:fill="DEEAF6"/>
            <w:vAlign w:val="center"/>
          </w:tcPr>
          <w:p w:rsidR="00EE0B44" w:rsidRPr="00A527F6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527F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Вид іншої діяльності з внутрішнього аудиту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EE0B44" w:rsidRPr="00A527F6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527F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Термін </w:t>
            </w:r>
            <w:r w:rsidRPr="00A527F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709" w:type="dxa"/>
            <w:shd w:val="clear" w:color="auto" w:fill="DEEAF6"/>
            <w:textDirection w:val="btLr"/>
            <w:vAlign w:val="center"/>
          </w:tcPr>
          <w:p w:rsidR="00EE0B44" w:rsidRPr="00A527F6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527F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Робочі дні на виконання, </w:t>
            </w:r>
            <w:r w:rsidRPr="00A527F6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709" w:type="dxa"/>
            <w:shd w:val="clear" w:color="auto" w:fill="DEEAF6"/>
            <w:textDirection w:val="btLr"/>
            <w:vAlign w:val="center"/>
          </w:tcPr>
          <w:p w:rsidR="00EE0B44" w:rsidRPr="00A527F6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527F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Задіяні внутрішні аудитори, </w:t>
            </w:r>
            <w:r w:rsidRPr="00A527F6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кількість</w:t>
            </w:r>
          </w:p>
        </w:tc>
      </w:tr>
      <w:tr w:rsidR="00EE0B44" w:rsidRPr="0038671F" w:rsidTr="00923E20">
        <w:trPr>
          <w:trHeight w:val="101"/>
        </w:trPr>
        <w:tc>
          <w:tcPr>
            <w:tcW w:w="5637" w:type="dxa"/>
            <w:shd w:val="clear" w:color="auto" w:fill="DEEAF6"/>
            <w:vAlign w:val="center"/>
          </w:tcPr>
          <w:p w:rsidR="00EE0B44" w:rsidRPr="0038671F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EE0B44" w:rsidRPr="0038671F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6662" w:type="dxa"/>
            <w:shd w:val="clear" w:color="auto" w:fill="DEEAF6"/>
            <w:vAlign w:val="center"/>
          </w:tcPr>
          <w:p w:rsidR="00EE0B44" w:rsidRPr="0038671F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EE0B44" w:rsidRPr="0038671F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DEEAF6"/>
            <w:vAlign w:val="center"/>
          </w:tcPr>
          <w:p w:rsidR="00EE0B44" w:rsidRPr="0038671F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DEEAF6"/>
            <w:vAlign w:val="center"/>
          </w:tcPr>
          <w:p w:rsidR="00EE0B44" w:rsidRPr="0038671F" w:rsidRDefault="00EE0B44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</w:tr>
      <w:tr w:rsidR="006721F3" w:rsidRPr="0038671F" w:rsidTr="00923E20">
        <w:trPr>
          <w:trHeight w:val="629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6721F3" w:rsidRDefault="006721F3" w:rsidP="003B41F9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219C6">
              <w:rPr>
                <w:rFonts w:ascii="Times New Roman" w:hAnsi="Times New Roman"/>
                <w:sz w:val="24"/>
                <w:szCs w:val="24"/>
                <w:lang w:val="uk-UA"/>
              </w:rPr>
              <w:t>Зміна пріоритетних напрямків проведення внутрішніх аудитів (збільшення кількості аудитів ефективності).</w:t>
            </w:r>
          </w:p>
        </w:tc>
        <w:tc>
          <w:tcPr>
            <w:tcW w:w="425" w:type="dxa"/>
            <w:shd w:val="clear" w:color="auto" w:fill="auto"/>
          </w:tcPr>
          <w:p w:rsidR="006721F3" w:rsidRPr="00CA13CD" w:rsidRDefault="006721F3" w:rsidP="00904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CA13CD">
              <w:rPr>
                <w:rFonts w:ascii="Times New Roman" w:eastAsia="Times New Roman" w:hAnsi="Times New Roman"/>
                <w:bCs/>
                <w:lang w:val="uk-UA" w:eastAsia="ru-RU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6721F3" w:rsidRPr="00623E91" w:rsidRDefault="006721F3" w:rsidP="00904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розробленні методологічних підходів до ідентифікації ризиків при виконанні бюджетних програм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21F3" w:rsidRDefault="006721F3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721F3" w:rsidRPr="00B835C7" w:rsidRDefault="00B835C7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6721F3" w:rsidRPr="00B835C7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721F3" w:rsidRPr="00B835C7" w:rsidRDefault="00B835C7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6721F3" w:rsidRPr="0038671F" w:rsidTr="00923E20">
        <w:trPr>
          <w:trHeight w:val="553"/>
        </w:trPr>
        <w:tc>
          <w:tcPr>
            <w:tcW w:w="5637" w:type="dxa"/>
            <w:vMerge/>
            <w:shd w:val="clear" w:color="auto" w:fill="auto"/>
            <w:vAlign w:val="center"/>
          </w:tcPr>
          <w:p w:rsidR="006721F3" w:rsidRPr="00A219C6" w:rsidRDefault="006721F3" w:rsidP="006721F3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6721F3" w:rsidRPr="00CA13CD" w:rsidRDefault="006721F3" w:rsidP="009047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uk-UA" w:eastAsia="ru-RU"/>
              </w:rPr>
            </w:pPr>
            <w:r w:rsidRPr="00CA13CD">
              <w:rPr>
                <w:rFonts w:ascii="Times New Roman" w:eastAsia="Times New Roman" w:hAnsi="Times New Roman"/>
                <w:bCs/>
                <w:lang w:val="uk-UA" w:eastAsia="ru-RU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6721F3" w:rsidRPr="00623E91" w:rsidRDefault="006721F3" w:rsidP="00904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DD39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часть у ідентифікації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оцінці </w:t>
            </w:r>
            <w:r w:rsidRPr="00DD3969">
              <w:rPr>
                <w:rFonts w:ascii="Times New Roman" w:hAnsi="Times New Roman"/>
                <w:sz w:val="24"/>
                <w:szCs w:val="24"/>
                <w:lang w:val="uk-UA"/>
              </w:rPr>
              <w:t>ризиків при виконанні бюджетних програм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21F3" w:rsidRDefault="006721F3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21F3" w:rsidRPr="00B835C7" w:rsidRDefault="006721F3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21F3" w:rsidRPr="00B835C7" w:rsidRDefault="006721F3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3B41F9" w:rsidRPr="0038671F" w:rsidTr="00923E20">
        <w:trPr>
          <w:trHeight w:val="1123"/>
        </w:trPr>
        <w:tc>
          <w:tcPr>
            <w:tcW w:w="5637" w:type="dxa"/>
            <w:shd w:val="clear" w:color="auto" w:fill="auto"/>
          </w:tcPr>
          <w:p w:rsidR="003B41F9" w:rsidRPr="00C1258E" w:rsidRDefault="003B41F9" w:rsidP="006721F3">
            <w:pPr>
              <w:spacing w:after="0" w:line="228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Запровадження оцінки надійності, ефективності та </w:t>
            </w:r>
            <w:r w:rsidRPr="006D727E">
              <w:rPr>
                <w:rFonts w:ascii="Times New Roman" w:hAnsi="Times New Roman"/>
                <w:spacing w:val="-10"/>
                <w:sz w:val="24"/>
                <w:szCs w:val="24"/>
                <w:lang w:val="uk-UA"/>
              </w:rPr>
              <w:t>результативності інформаційних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 в </w:t>
            </w:r>
            <w:r w:rsidRPr="00662E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UA"/>
              </w:rPr>
              <w:t>Міністерстві у справах ветеранів, тимчасово окупованих територій та внутрішньо переміщених осіб України</w:t>
            </w:r>
          </w:p>
        </w:tc>
        <w:tc>
          <w:tcPr>
            <w:tcW w:w="425" w:type="dxa"/>
            <w:shd w:val="clear" w:color="auto" w:fill="auto"/>
          </w:tcPr>
          <w:p w:rsidR="003B41F9" w:rsidRPr="0059680D" w:rsidRDefault="003B41F9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B41F9" w:rsidRPr="00BE3BB0" w:rsidRDefault="003B41F9" w:rsidP="00672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E3B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методологічної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щодо в</w:t>
            </w:r>
            <w:r w:rsidRPr="00BE3B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изначення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r>
              <w:t xml:space="preserve"> </w:t>
            </w:r>
            <w:r w:rsidRPr="006B2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оцінки </w:t>
            </w:r>
            <w:r w:rsidRPr="00BE3B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ІТ-ризиків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41F9" w:rsidRPr="00212B18" w:rsidRDefault="003B41F9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41F9" w:rsidRPr="00B835C7" w:rsidRDefault="00B835C7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41F9" w:rsidRPr="00B835C7" w:rsidRDefault="00B835C7" w:rsidP="00672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04C82" w:rsidRPr="0038671F" w:rsidTr="00923E20">
        <w:trPr>
          <w:trHeight w:val="1104"/>
        </w:trPr>
        <w:tc>
          <w:tcPr>
            <w:tcW w:w="5637" w:type="dxa"/>
            <w:shd w:val="clear" w:color="auto" w:fill="auto"/>
            <w:vAlign w:val="center"/>
          </w:tcPr>
          <w:p w:rsidR="00004C82" w:rsidRPr="00212B18" w:rsidRDefault="00004C82" w:rsidP="0000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t xml:space="preserve"> </w:t>
            </w:r>
            <w:r w:rsidRPr="00004C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Оцінка діяльності та ефективності внутрішнього контролю у підприємств, установ, організацій, що належать до сфери управління Міністерства, у самостійних структурних підрозділах апарату </w:t>
            </w:r>
            <w:proofErr w:type="spellStart"/>
            <w:r w:rsidRPr="00004C82">
              <w:rPr>
                <w:rFonts w:ascii="Times New Roman" w:hAnsi="Times New Roman"/>
                <w:sz w:val="24"/>
                <w:szCs w:val="24"/>
                <w:lang w:val="uk-UA"/>
              </w:rPr>
              <w:t>Мінветеранів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04C82" w:rsidRDefault="00004C82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004C82" w:rsidRPr="00712D5D" w:rsidRDefault="00004C82" w:rsidP="0000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C3B43"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 w:eastAsia="ru-RU"/>
              </w:rPr>
              <w:t>Опрацювання регламентів щодо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uk-UA" w:eastAsia="ru-RU"/>
              </w:rPr>
              <w:t xml:space="preserve"> проведення</w:t>
            </w:r>
            <w:r w:rsidRPr="00730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308D8">
              <w:rPr>
                <w:rFonts w:ascii="Times New Roman" w:hAnsi="Times New Roman"/>
                <w:sz w:val="24"/>
                <w:szCs w:val="24"/>
                <w:lang w:val="uk-UA"/>
              </w:rPr>
              <w:t>цінк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7308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 та ефективності внутрішнього контролю у підприємств, установ, організацій, що належать до сфери управління Міністерства, у самостійних структурних підрозділах апарату </w:t>
            </w:r>
            <w:proofErr w:type="spellStart"/>
            <w:r w:rsidRPr="007308D8">
              <w:rPr>
                <w:rFonts w:ascii="Times New Roman" w:hAnsi="Times New Roman"/>
                <w:sz w:val="24"/>
                <w:szCs w:val="24"/>
                <w:lang w:val="uk-UA"/>
              </w:rPr>
              <w:t>Мінветеранів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4C82" w:rsidRDefault="00004C82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709" w:type="dxa"/>
            <w:shd w:val="clear" w:color="auto" w:fill="auto"/>
          </w:tcPr>
          <w:p w:rsidR="00004C82" w:rsidRPr="00B835C7" w:rsidRDefault="00B835C7" w:rsidP="009B5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B5F9D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04C82" w:rsidRPr="00B835C7" w:rsidRDefault="00B835C7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C4B54" w:rsidRPr="0038671F" w:rsidTr="00923E20">
        <w:trPr>
          <w:trHeight w:val="458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CC4B54" w:rsidRPr="00212B18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12B18">
              <w:rPr>
                <w:rFonts w:ascii="Times New Roman" w:hAnsi="Times New Roman"/>
                <w:sz w:val="24"/>
                <w:szCs w:val="24"/>
                <w:lang w:val="uk-UA"/>
              </w:rPr>
              <w:t>Запобігання фактам незаконного, неефективного та нерезультативного використання бюджетних коштів, виникнення помилок чи інших недоліків у діяльності апарату</w:t>
            </w:r>
            <w:r w:rsidRPr="00212B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UA"/>
              </w:rPr>
              <w:t xml:space="preserve"> Державної служби України у справах ветеранів війни та учасників антитерористичної операції</w:t>
            </w:r>
          </w:p>
        </w:tc>
        <w:tc>
          <w:tcPr>
            <w:tcW w:w="425" w:type="dxa"/>
            <w:shd w:val="clear" w:color="auto" w:fill="auto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CC4B54" w:rsidRPr="006D727E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Опрацювання </w:t>
            </w:r>
            <w:r w:rsidRPr="000C6D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 погодження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законодавчих та нормативно-правових актів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4B54" w:rsidRPr="00B835C7" w:rsidRDefault="009B5F9D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CC4B54" w:rsidRPr="00B835C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C4B54" w:rsidRPr="00B835C7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Pr="00212B18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0C6DE4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CC4B54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C6D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Розгляд та погодження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наказів Міністерства ветеранів, тимчасово окупованих територій та внутрішньо переміщених осіб України</w:t>
            </w:r>
            <w:r w:rsidRPr="000C6D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4B54" w:rsidRPr="00B835C7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C4B54" w:rsidRPr="00B835C7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275"/>
        </w:trPr>
        <w:tc>
          <w:tcPr>
            <w:tcW w:w="56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B54" w:rsidRPr="00212B18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0C6DE4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 </w:t>
            </w:r>
          </w:p>
        </w:tc>
        <w:tc>
          <w:tcPr>
            <w:tcW w:w="6662" w:type="dxa"/>
            <w:shd w:val="clear" w:color="auto" w:fill="auto"/>
          </w:tcPr>
          <w:p w:rsidR="00CC4B54" w:rsidRPr="006D727E" w:rsidRDefault="00CC4B54" w:rsidP="00B835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Розгляд та погодження кошторисів, договорів на закупівлю товарів, робіт та послуг, зокрема на оренду приміщень та відшкодування вартості отриманих комунальних послуг і енергоносіїв.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B54" w:rsidRPr="00B835C7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B54" w:rsidRPr="00B835C7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підвищення ефективності та якості внутрішнього аудиту</w:t>
            </w:r>
          </w:p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7062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CC4B54" w:rsidRPr="00A4418D" w:rsidRDefault="00CC4B54" w:rsidP="0090472A">
            <w:pPr>
              <w:pStyle w:val="13"/>
              <w:keepNext/>
              <w:keepLines/>
              <w:shd w:val="clear" w:color="auto" w:fill="auto"/>
              <w:tabs>
                <w:tab w:val="left" w:pos="1474"/>
              </w:tabs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52710C">
              <w:rPr>
                <w:b w:val="0"/>
                <w:sz w:val="24"/>
                <w:szCs w:val="24"/>
                <w:lang w:val="uk-UA"/>
              </w:rPr>
              <w:t xml:space="preserve">Проведення постійного моніторингу якості реалізації функції внутрішнього аудиту в </w:t>
            </w:r>
            <w:r w:rsidRPr="00B10671">
              <w:rPr>
                <w:b w:val="0"/>
                <w:spacing w:val="-14"/>
                <w:sz w:val="24"/>
                <w:szCs w:val="24"/>
                <w:lang w:val="uk-UA"/>
              </w:rPr>
              <w:t>ході організації та проведення внутрішніх аудитів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4B54" w:rsidRPr="00B835C7" w:rsidRDefault="009B5F9D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B835C7" w:rsidRPr="00B835C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4B54" w:rsidRPr="00B835C7" w:rsidRDefault="00B835C7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7062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CC4B54" w:rsidRPr="0052710C" w:rsidRDefault="00CC4B54" w:rsidP="0090472A">
            <w:pPr>
              <w:pStyle w:val="13"/>
              <w:keepNext/>
              <w:keepLines/>
              <w:shd w:val="clear" w:color="auto" w:fill="auto"/>
              <w:tabs>
                <w:tab w:val="left" w:pos="1474"/>
              </w:tabs>
              <w:spacing w:before="0" w:after="0" w:line="240" w:lineRule="auto"/>
              <w:ind w:firstLine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636071">
              <w:rPr>
                <w:b w:val="0"/>
                <w:sz w:val="24"/>
                <w:szCs w:val="24"/>
                <w:lang w:val="uk-UA"/>
              </w:rPr>
              <w:t xml:space="preserve">Проведення </w:t>
            </w:r>
            <w:r w:rsidRPr="00636071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посадовими особами </w:t>
            </w:r>
            <w:r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внутрішнього аудиту </w:t>
            </w:r>
            <w:r w:rsidRPr="00636071">
              <w:rPr>
                <w:b w:val="0"/>
                <w:color w:val="000000"/>
                <w:sz w:val="24"/>
                <w:szCs w:val="24"/>
                <w:lang w:val="uk-UA" w:eastAsia="ru-RU"/>
              </w:rPr>
              <w:t xml:space="preserve">самооцінки щодо виконання службових обов'язків шляхом складання особистих </w:t>
            </w:r>
            <w:r w:rsidRPr="00390449">
              <w:rPr>
                <w:b w:val="0"/>
                <w:color w:val="000000"/>
                <w:spacing w:val="-4"/>
                <w:sz w:val="24"/>
                <w:szCs w:val="24"/>
                <w:lang w:val="uk-UA" w:eastAsia="ru-RU"/>
              </w:rPr>
              <w:t>планів діяльності та звітів про їх виконання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7062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CC4B54" w:rsidRPr="0052710C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2710C">
              <w:rPr>
                <w:rFonts w:ascii="Times New Roman" w:hAnsi="Times New Roman"/>
                <w:sz w:val="24"/>
                <w:szCs w:val="24"/>
                <w:lang w:val="uk-UA"/>
              </w:rPr>
              <w:t>Проведення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керівником підрозділу внутрішнього аудиту</w:t>
            </w:r>
            <w:r w:rsidRPr="005271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52710C">
              <w:rPr>
                <w:rFonts w:ascii="Times New Roman" w:hAnsi="Times New Roman"/>
                <w:sz w:val="24"/>
                <w:szCs w:val="24"/>
              </w:rPr>
              <w:t>еріодичн</w:t>
            </w:r>
            <w:r w:rsidRPr="0052710C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52710C">
              <w:rPr>
                <w:rFonts w:ascii="Times New Roman" w:hAnsi="Times New Roman"/>
                <w:sz w:val="24"/>
                <w:szCs w:val="24"/>
              </w:rPr>
              <w:t xml:space="preserve"> оцінювання діяльності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працівників </w:t>
            </w:r>
            <w:r w:rsidRPr="0052710C">
              <w:rPr>
                <w:rFonts w:ascii="Times New Roman" w:hAnsi="Times New Roman"/>
                <w:sz w:val="24"/>
                <w:szCs w:val="24"/>
              </w:rPr>
              <w:t>підрозділу внутрішнього аудиту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7062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CC4B54" w:rsidRPr="00847F24" w:rsidRDefault="00CC4B54" w:rsidP="00904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620">
              <w:rPr>
                <w:rFonts w:ascii="Times New Roman" w:hAnsi="Times New Roman"/>
                <w:sz w:val="24"/>
                <w:szCs w:val="24"/>
              </w:rPr>
              <w:t xml:space="preserve">Проведення оцінки повноти аудиторських дій та оформлення результатів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кожного проведеного </w:t>
            </w:r>
            <w:r w:rsidRPr="00847F24">
              <w:rPr>
                <w:rFonts w:ascii="Times New Roman" w:hAnsi="Times New Roman"/>
                <w:sz w:val="24"/>
                <w:szCs w:val="24"/>
                <w:lang w:val="uk-UA"/>
              </w:rPr>
              <w:t>внутрішнього</w:t>
            </w:r>
            <w:r w:rsidRPr="00101620">
              <w:rPr>
                <w:rFonts w:ascii="Times New Roman" w:hAnsi="Times New Roman"/>
                <w:sz w:val="24"/>
                <w:szCs w:val="24"/>
              </w:rPr>
              <w:t xml:space="preserve"> аудит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706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CC4B54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моніторингу впровадження </w:t>
            </w:r>
            <w:r w:rsidRPr="00390449">
              <w:rPr>
                <w:rFonts w:ascii="Times New Roman" w:eastAsia="Times New Roman" w:hAnsi="Times New Roman"/>
                <w:spacing w:val="-12"/>
                <w:sz w:val="24"/>
                <w:szCs w:val="24"/>
                <w:lang w:val="uk-UA" w:eastAsia="ru-RU"/>
              </w:rPr>
              <w:t>рекомендацій, наданих за результатами аудитів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70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CC4B54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Ведення Бази даних об’єктів  внутрішнього аудиту та її актуалізації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7062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662" w:type="dxa"/>
            <w:shd w:val="clear" w:color="auto" w:fill="auto"/>
          </w:tcPr>
          <w:p w:rsidR="00CC4B54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2710C">
              <w:rPr>
                <w:rFonts w:ascii="Times New Roman" w:hAnsi="Times New Roman"/>
                <w:sz w:val="24"/>
                <w:szCs w:val="24"/>
              </w:rPr>
              <w:t>Проведення внутрішньої оцінки якості внутрішнього аудиту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7062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662" w:type="dxa"/>
            <w:shd w:val="clear" w:color="auto" w:fill="auto"/>
          </w:tcPr>
          <w:p w:rsidR="00CC4B54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програми підвищення якості внутрішнього аудиту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</w:p>
        </w:tc>
        <w:tc>
          <w:tcPr>
            <w:tcW w:w="6662" w:type="dxa"/>
            <w:shd w:val="clear" w:color="auto" w:fill="auto"/>
          </w:tcPr>
          <w:p w:rsidR="00CC4B54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колегія та дорадчих комісіях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706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6662" w:type="dxa"/>
            <w:shd w:val="clear" w:color="auto" w:fill="auto"/>
          </w:tcPr>
          <w:p w:rsidR="00CC4B54" w:rsidRPr="00A4418D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42CE8">
              <w:rPr>
                <w:rFonts w:ascii="Times New Roman" w:eastAsia="Times New Roman" w:hAnsi="Times New Roman"/>
                <w:sz w:val="24"/>
                <w:szCs w:val="24"/>
                <w:lang w:eastAsia="ru-UA"/>
              </w:rPr>
              <w:t>Здійснення моніторингу стану виконання прийнятих на засіданні колегій рішень (в межах повноважень)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CC4B5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6662" w:type="dxa"/>
            <w:shd w:val="clear" w:color="auto" w:fill="auto"/>
          </w:tcPr>
          <w:p w:rsidR="00CC4B54" w:rsidRPr="000C6DE4" w:rsidRDefault="00CC4B54" w:rsidP="009047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</w:pPr>
            <w:r w:rsidRPr="000C6DE4">
              <w:rPr>
                <w:rFonts w:ascii="Times New Roman" w:eastAsia="Times New Roman" w:hAnsi="Times New Roman"/>
                <w:sz w:val="24"/>
                <w:szCs w:val="24"/>
                <w:lang w:eastAsia="ru-UA"/>
              </w:rPr>
              <w:t>Здійснення моніторингу стану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  <w:t xml:space="preserve"> виконання вимог, рекомендацій, приписів зовнішніх контролюючих органів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CC4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CC4B54" w:rsidRDefault="00CC4B54" w:rsidP="0000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Професійний розвиток працівників підрозділу внутрішнього аудиту</w:t>
            </w: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004C8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CC4B54" w:rsidRPr="00542CE8" w:rsidRDefault="00CC4B54" w:rsidP="00004C82">
            <w:pPr>
              <w:spacing w:after="0" w:line="221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UA"/>
              </w:rPr>
            </w:pPr>
            <w:r w:rsidRPr="00BF64D3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UA"/>
              </w:rPr>
              <w:t xml:space="preserve">Участь </w:t>
            </w:r>
            <w:r w:rsidRPr="00BF64D3">
              <w:rPr>
                <w:rFonts w:ascii="Times New Roman" w:eastAsia="Times New Roman" w:hAnsi="Times New Roman"/>
                <w:spacing w:val="-10"/>
                <w:sz w:val="24"/>
                <w:szCs w:val="24"/>
                <w:lang w:val="uk-UA" w:eastAsia="ru-UA"/>
              </w:rPr>
              <w:t>у навчальних заходах, організованих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  <w:t xml:space="preserve"> іншими державними органами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B54" w:rsidRPr="00145915" w:rsidRDefault="00CC4B54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4B54" w:rsidRPr="00B835C7" w:rsidRDefault="009B5F9D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CC4B54" w:rsidRPr="00B835C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C4B54" w:rsidRPr="00B835C7" w:rsidRDefault="00B835C7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00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004C8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CC4B54" w:rsidRPr="00542CE8" w:rsidRDefault="00CC4B54" w:rsidP="00004C82">
            <w:pPr>
              <w:spacing w:after="0" w:line="221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UA"/>
              </w:rPr>
            </w:pPr>
            <w:r w:rsidRPr="00847F24"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  <w:t xml:space="preserve">Проведення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  <w:t xml:space="preserve">навчань в підрозділі </w:t>
            </w:r>
            <w:r w:rsidRPr="00847F24"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  <w:t>з питань вивчення законодавчої бази, ознайомлення зі змінами до нормативно-правових актів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  <w:t>,</w:t>
            </w:r>
            <w:r w:rsidRPr="00847F24"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  <w:t xml:space="preserve"> застосування їх в ході проведення внутрішніх аудитів, вирішення актуальних та проблемних питань діяльності </w:t>
            </w:r>
            <w:r w:rsidR="00243BE0"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  <w:t>Відділу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C4B54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CC4B54" w:rsidRDefault="00CC4B54" w:rsidP="0000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C4B54" w:rsidRPr="00C77062" w:rsidRDefault="00CC4B54" w:rsidP="00004C8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CC4B54" w:rsidRPr="00542CE8" w:rsidRDefault="00CC4B54" w:rsidP="00004C82">
            <w:pPr>
              <w:spacing w:after="0" w:line="221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UA"/>
              </w:rPr>
            </w:pPr>
            <w:r w:rsidRPr="00847F24"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  <w:t>Забезпечення підвищення кваліфікації працівників шляхом самоосвіти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4B54" w:rsidRPr="00145915" w:rsidRDefault="00CC4B54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C4B54" w:rsidRPr="00B835C7" w:rsidRDefault="00CC4B54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F383F" w:rsidRPr="0038671F" w:rsidTr="00923E20">
        <w:trPr>
          <w:trHeight w:val="125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:rsidR="000F383F" w:rsidRDefault="000F383F" w:rsidP="0000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роботи</w:t>
            </w:r>
          </w:p>
        </w:tc>
        <w:tc>
          <w:tcPr>
            <w:tcW w:w="425" w:type="dxa"/>
            <w:shd w:val="clear" w:color="auto" w:fill="auto"/>
          </w:tcPr>
          <w:p w:rsidR="000F383F" w:rsidRDefault="000F383F" w:rsidP="00004C8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0F383F" w:rsidRPr="00847F24" w:rsidRDefault="000F383F" w:rsidP="00004C82">
            <w:pPr>
              <w:spacing w:after="0" w:line="221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Проведення ризик-орієнтовного відбору </w:t>
            </w:r>
            <w:r w:rsidRPr="00390449">
              <w:rPr>
                <w:rFonts w:ascii="Times New Roman" w:eastAsia="Times New Roman" w:hAnsi="Times New Roman"/>
                <w:spacing w:val="-8"/>
                <w:sz w:val="24"/>
                <w:szCs w:val="24"/>
                <w:lang w:val="uk-UA" w:eastAsia="ru-RU"/>
              </w:rPr>
              <w:t>об’єктів внутрішнього аудиту для формування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планів діяльності з внутрішнього аудиту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383F" w:rsidRPr="00145915" w:rsidRDefault="000F383F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F383F" w:rsidRPr="00B835C7" w:rsidRDefault="009B5F9D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F383F" w:rsidRPr="00B835C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0F383F" w:rsidRPr="00B835C7" w:rsidRDefault="000F383F" w:rsidP="00DC4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0F383F" w:rsidRPr="0038671F" w:rsidTr="00923E20">
        <w:trPr>
          <w:trHeight w:val="125"/>
        </w:trPr>
        <w:tc>
          <w:tcPr>
            <w:tcW w:w="5637" w:type="dxa"/>
            <w:vMerge/>
            <w:shd w:val="clear" w:color="auto" w:fill="auto"/>
            <w:vAlign w:val="center"/>
          </w:tcPr>
          <w:p w:rsidR="000F383F" w:rsidRDefault="000F383F" w:rsidP="0000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F383F" w:rsidRDefault="000F383F" w:rsidP="00004C8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0F383F" w:rsidRPr="00847F24" w:rsidRDefault="000F383F" w:rsidP="00004C82">
            <w:pPr>
              <w:spacing w:after="0" w:line="221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</w:pPr>
            <w:r w:rsidRPr="00A4418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Формування стратегічних та оперативних планів проведення аудитів на основі стратегічної мети розвитку </w:t>
            </w:r>
            <w:proofErr w:type="spellStart"/>
            <w:r w:rsidR="00243B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Мінветеранів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F383F" w:rsidRPr="00145915" w:rsidRDefault="000F383F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F383F" w:rsidRPr="00B835C7" w:rsidRDefault="000F383F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F383F" w:rsidRPr="00B835C7" w:rsidRDefault="000F383F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04C82" w:rsidRPr="0038671F" w:rsidTr="00923E20">
        <w:trPr>
          <w:trHeight w:val="125"/>
        </w:trPr>
        <w:tc>
          <w:tcPr>
            <w:tcW w:w="5637" w:type="dxa"/>
            <w:shd w:val="clear" w:color="auto" w:fill="auto"/>
            <w:vAlign w:val="center"/>
          </w:tcPr>
          <w:p w:rsidR="00004C82" w:rsidRDefault="00004C82" w:rsidP="00004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Звітування про діяльність внутрішнього аудиту</w:t>
            </w:r>
          </w:p>
        </w:tc>
        <w:tc>
          <w:tcPr>
            <w:tcW w:w="425" w:type="dxa"/>
            <w:shd w:val="clear" w:color="auto" w:fill="auto"/>
          </w:tcPr>
          <w:p w:rsidR="00004C82" w:rsidRDefault="00004C82" w:rsidP="00004C82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004C82" w:rsidRPr="00847F24" w:rsidRDefault="00004C82" w:rsidP="00004C82">
            <w:pPr>
              <w:spacing w:after="0" w:line="221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звітності про діяльність внутрішнього аудиту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C82" w:rsidRPr="00145915" w:rsidRDefault="00004C82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82" w:rsidRPr="00B835C7" w:rsidRDefault="00B835C7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4C82" w:rsidRPr="00B835C7" w:rsidRDefault="00004C82" w:rsidP="0000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835C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590313" w:rsidRDefault="00590313" w:rsidP="000B17C9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002C7" w:rsidRDefault="00F725EF" w:rsidP="000B17C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B407AE">
        <w:rPr>
          <w:rFonts w:ascii="Times New Roman" w:hAnsi="Times New Roman"/>
          <w:b/>
          <w:sz w:val="24"/>
          <w:szCs w:val="24"/>
          <w:lang w:val="uk-UA"/>
        </w:rPr>
        <w:lastRenderedPageBreak/>
        <w:t>І</w:t>
      </w:r>
      <w:r w:rsidR="00EA052E"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B407AE">
        <w:rPr>
          <w:rFonts w:ascii="Times New Roman" w:hAnsi="Times New Roman"/>
          <w:b/>
          <w:sz w:val="24"/>
          <w:szCs w:val="24"/>
        </w:rPr>
        <w:t xml:space="preserve">. </w:t>
      </w:r>
      <w:r w:rsidR="00B407AE" w:rsidRPr="00B407AE">
        <w:rPr>
          <w:rFonts w:ascii="Times New Roman" w:hAnsi="Times New Roman"/>
          <w:b/>
          <w:sz w:val="24"/>
          <w:szCs w:val="24"/>
          <w:lang w:val="uk-UA"/>
        </w:rPr>
        <w:t xml:space="preserve">ОБСЯГИ РОБОЧОГО ЧАСУ ТА </w:t>
      </w:r>
      <w:r w:rsidRPr="00B40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ЗАВАНТАЖЕНІСТЬ ВНУТРІШНІ</w:t>
      </w:r>
      <w:r w:rsidR="008D77B9" w:rsidRPr="00B40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МИ</w:t>
      </w:r>
      <w:r w:rsidRPr="00B40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АУДИТАМИ</w:t>
      </w:r>
      <w:r w:rsidR="00ED31FD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,</w:t>
      </w:r>
      <w:r w:rsidRPr="00B407AE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ІНШОЮ ДІЯЛЬНІСТЮ З ВНУТРІШНЬОГО АУДИТУ</w:t>
      </w:r>
    </w:p>
    <w:p w:rsidR="007927C5" w:rsidRPr="00B407AE" w:rsidRDefault="007927C5" w:rsidP="000B17C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99" w:tblpY="55"/>
        <w:tblW w:w="14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373"/>
        <w:gridCol w:w="1181"/>
        <w:gridCol w:w="1287"/>
        <w:gridCol w:w="1288"/>
        <w:gridCol w:w="2091"/>
        <w:gridCol w:w="1842"/>
        <w:gridCol w:w="2126"/>
        <w:gridCol w:w="2241"/>
      </w:tblGrid>
      <w:tr w:rsidR="00D4194F" w:rsidRPr="00517699" w:rsidTr="00C36402">
        <w:trPr>
          <w:trHeight w:val="170"/>
        </w:trPr>
        <w:tc>
          <w:tcPr>
            <w:tcW w:w="392" w:type="dxa"/>
            <w:vMerge w:val="restart"/>
            <w:shd w:val="clear" w:color="auto" w:fill="DEEAF6"/>
            <w:vAlign w:val="center"/>
          </w:tcPr>
          <w:p w:rsidR="00D4194F" w:rsidRPr="00157EFF" w:rsidRDefault="00157EFF" w:rsidP="00DD5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49</w:t>
            </w:r>
          </w:p>
        </w:tc>
        <w:tc>
          <w:tcPr>
            <w:tcW w:w="2374" w:type="dxa"/>
            <w:vMerge w:val="restart"/>
            <w:shd w:val="clear" w:color="auto" w:fill="DEEAF6"/>
            <w:vAlign w:val="center"/>
          </w:tcPr>
          <w:p w:rsidR="00D4194F" w:rsidRPr="007277DD" w:rsidRDefault="00D4194F" w:rsidP="00DD5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>осад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а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працівника підрозділу внутрішнього аудиту</w:t>
            </w:r>
          </w:p>
        </w:tc>
        <w:tc>
          <w:tcPr>
            <w:tcW w:w="1181" w:type="dxa"/>
            <w:vMerge w:val="restart"/>
            <w:shd w:val="clear" w:color="auto" w:fill="DEEAF6"/>
            <w:vAlign w:val="center"/>
          </w:tcPr>
          <w:p w:rsidR="00D4194F" w:rsidRPr="007277DD" w:rsidRDefault="00784ADC" w:rsidP="00DD5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Загальна к</w:t>
            </w:r>
            <w:r w:rsidR="00D4194F"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ількість робочих днів </w:t>
            </w:r>
            <w:r w:rsidR="00D4194F"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на рік</w:t>
            </w:r>
          </w:p>
        </w:tc>
        <w:tc>
          <w:tcPr>
            <w:tcW w:w="1287" w:type="dxa"/>
            <w:vMerge w:val="restart"/>
            <w:shd w:val="clear" w:color="auto" w:fill="DEEAF6"/>
            <w:vAlign w:val="center"/>
          </w:tcPr>
          <w:p w:rsidR="00D4194F" w:rsidRPr="007277DD" w:rsidRDefault="00D4194F" w:rsidP="00DD5E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Кількість посад (за фактом)</w:t>
            </w:r>
          </w:p>
        </w:tc>
        <w:tc>
          <w:tcPr>
            <w:tcW w:w="1288" w:type="dxa"/>
            <w:vMerge w:val="restart"/>
            <w:shd w:val="clear" w:color="auto" w:fill="DEEAF6"/>
            <w:vAlign w:val="center"/>
          </w:tcPr>
          <w:p w:rsidR="00D4194F" w:rsidRPr="007277DD" w:rsidRDefault="00BA6615" w:rsidP="00DD5E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Плановий </w:t>
            </w:r>
            <w:r w:rsidR="00D4194F"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фонд робочого часу</w:t>
            </w:r>
            <w:r w:rsidR="00D4194F" w:rsidRPr="007277DD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, людино-дні</w:t>
            </w:r>
            <w:r w:rsidR="00D4194F"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061" w:type="dxa"/>
            <w:gridSpan w:val="3"/>
            <w:tcBorders>
              <w:bottom w:val="nil"/>
            </w:tcBorders>
            <w:shd w:val="clear" w:color="auto" w:fill="DEEAF6"/>
            <w:vAlign w:val="center"/>
          </w:tcPr>
          <w:p w:rsidR="00D4194F" w:rsidRPr="007277DD" w:rsidRDefault="00A8776B" w:rsidP="00DD5E4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</w:t>
            </w:r>
            <w:r w:rsidR="00D4194F"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авантаженість внутрішніми аудитами</w:t>
            </w:r>
          </w:p>
        </w:tc>
        <w:tc>
          <w:tcPr>
            <w:tcW w:w="2242" w:type="dxa"/>
            <w:vMerge w:val="restart"/>
            <w:shd w:val="clear" w:color="auto" w:fill="DEEAF6"/>
            <w:vAlign w:val="center"/>
          </w:tcPr>
          <w:p w:rsidR="00D4194F" w:rsidRPr="0092472B" w:rsidRDefault="00A8776B" w:rsidP="00DD5E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</w:t>
            </w:r>
            <w:r w:rsidR="00D4194F" w:rsidRPr="00627DB4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авантаженість іншою діяльністю з внутрішнього аудиту</w:t>
            </w:r>
            <w:r w:rsidR="00D4194F"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="00082C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D4194F" w:rsidRPr="007277DD">
              <w:rPr>
                <w:rFonts w:ascii="Times New Roman" w:hAnsi="Times New Roman"/>
                <w:i/>
                <w:sz w:val="18"/>
                <w:szCs w:val="18"/>
              </w:rPr>
              <w:t>людино-днів</w:t>
            </w:r>
          </w:p>
        </w:tc>
      </w:tr>
      <w:tr w:rsidR="00D4194F" w:rsidRPr="00517699" w:rsidTr="00C36402">
        <w:trPr>
          <w:trHeight w:val="91"/>
        </w:trPr>
        <w:tc>
          <w:tcPr>
            <w:tcW w:w="392" w:type="dxa"/>
            <w:vMerge/>
            <w:shd w:val="clear" w:color="auto" w:fill="DEEAF6"/>
            <w:vAlign w:val="center"/>
          </w:tcPr>
          <w:p w:rsidR="00D4194F" w:rsidRPr="007277DD" w:rsidRDefault="00D4194F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374" w:type="dxa"/>
            <w:vMerge/>
            <w:shd w:val="clear" w:color="auto" w:fill="DEEAF6"/>
            <w:vAlign w:val="center"/>
          </w:tcPr>
          <w:p w:rsidR="00D4194F" w:rsidRPr="007277DD" w:rsidRDefault="00D4194F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vMerge/>
            <w:shd w:val="clear" w:color="auto" w:fill="DEEAF6"/>
            <w:vAlign w:val="center"/>
          </w:tcPr>
          <w:p w:rsidR="00D4194F" w:rsidRPr="007277DD" w:rsidRDefault="00D4194F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vMerge/>
            <w:shd w:val="clear" w:color="auto" w:fill="DEEAF6"/>
            <w:vAlign w:val="center"/>
          </w:tcPr>
          <w:p w:rsidR="00D4194F" w:rsidRPr="007277DD" w:rsidRDefault="00D4194F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vMerge/>
            <w:shd w:val="clear" w:color="auto" w:fill="DEEAF6"/>
          </w:tcPr>
          <w:p w:rsidR="00D4194F" w:rsidRPr="007277DD" w:rsidRDefault="00D4194F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:rsidR="00D4194F" w:rsidRPr="007277DD" w:rsidRDefault="00D4194F" w:rsidP="00DD5E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Визначений к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>оефіцієнт завантаженості внутрішніми аудитами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для відповідної посади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:rsidR="00D4194F" w:rsidRPr="007277DD" w:rsidRDefault="00BA6615" w:rsidP="00DD5E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Загальний плановий ф</w:t>
            </w:r>
            <w:r w:rsidR="00D4194F"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онд робочого</w:t>
            </w:r>
            <w:r w:rsidR="00D4194F"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часу на проведення внутрішніх аудитів,</w:t>
            </w:r>
            <w:r w:rsidR="00D4194F"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="00D4194F" w:rsidRPr="007277DD">
              <w:rPr>
                <w:rFonts w:ascii="Times New Roman" w:hAnsi="Times New Roman"/>
                <w:i/>
                <w:sz w:val="18"/>
                <w:szCs w:val="18"/>
              </w:rPr>
              <w:t>людино-дні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DEEAF6"/>
          </w:tcPr>
          <w:p w:rsidR="00D4194F" w:rsidRPr="007277DD" w:rsidRDefault="00D4194F" w:rsidP="00DD5E43">
            <w:pPr>
              <w:spacing w:before="120" w:after="12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>у тому числі</w:t>
            </w:r>
            <w:r w:rsidR="002E6624"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на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242" w:type="dxa"/>
            <w:vMerge/>
            <w:shd w:val="clear" w:color="auto" w:fill="DEEAF6"/>
            <w:vAlign w:val="center"/>
          </w:tcPr>
          <w:p w:rsidR="00D4194F" w:rsidRPr="00517699" w:rsidRDefault="00D4194F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B6193" w:rsidRPr="00517699" w:rsidTr="00C36402">
        <w:trPr>
          <w:trHeight w:val="183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EB6193" w:rsidRPr="007277DD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EB6193" w:rsidRPr="007277DD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EB6193" w:rsidRPr="007277DD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EB6193" w:rsidRPr="007277DD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88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EB6193" w:rsidRPr="007277DD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6193" w:rsidRPr="007277DD" w:rsidRDefault="00EB6193" w:rsidP="00DD5E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B6193" w:rsidRPr="007277DD" w:rsidRDefault="00EB6193" w:rsidP="00DD5E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EB6193" w:rsidRPr="007277DD" w:rsidRDefault="00EB6193" w:rsidP="00DD5E4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>ланов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і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внутрішні аудити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Pr="007277D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7277DD">
              <w:rPr>
                <w:rFonts w:ascii="Times New Roman" w:hAnsi="Times New Roman"/>
                <w:i/>
                <w:sz w:val="18"/>
                <w:szCs w:val="18"/>
              </w:rPr>
              <w:t>людино-дні</w:t>
            </w: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:rsidR="00EB6193" w:rsidRPr="00517699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B6193" w:rsidRPr="00F315C4" w:rsidTr="00C36402">
        <w:trPr>
          <w:trHeight w:val="28"/>
        </w:trPr>
        <w:tc>
          <w:tcPr>
            <w:tcW w:w="392" w:type="dxa"/>
            <w:shd w:val="clear" w:color="auto" w:fill="DEEAF6"/>
            <w:vAlign w:val="center"/>
          </w:tcPr>
          <w:p w:rsidR="00EB6193" w:rsidRPr="00F315C4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5C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74" w:type="dxa"/>
            <w:shd w:val="clear" w:color="auto" w:fill="DEEAF6"/>
            <w:vAlign w:val="center"/>
          </w:tcPr>
          <w:p w:rsidR="00EB6193" w:rsidRPr="00F315C4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5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DEEAF6"/>
            <w:vAlign w:val="center"/>
          </w:tcPr>
          <w:p w:rsidR="00EB6193" w:rsidRPr="00FC1433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287" w:type="dxa"/>
            <w:shd w:val="clear" w:color="auto" w:fill="DEEAF6"/>
            <w:vAlign w:val="center"/>
          </w:tcPr>
          <w:p w:rsidR="00EB6193" w:rsidRPr="00F315C4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288" w:type="dxa"/>
            <w:shd w:val="clear" w:color="auto" w:fill="DEEAF6"/>
            <w:vAlign w:val="center"/>
          </w:tcPr>
          <w:p w:rsidR="00EB6193" w:rsidRPr="004F56BB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2091" w:type="dxa"/>
            <w:shd w:val="clear" w:color="auto" w:fill="DEEAF6"/>
            <w:vAlign w:val="center"/>
          </w:tcPr>
          <w:p w:rsidR="00EB6193" w:rsidRPr="004F56BB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EB6193" w:rsidRPr="004F56BB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2127" w:type="dxa"/>
            <w:shd w:val="clear" w:color="auto" w:fill="DEEAF6"/>
            <w:vAlign w:val="center"/>
          </w:tcPr>
          <w:p w:rsidR="00EB6193" w:rsidRPr="004F56BB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2242" w:type="dxa"/>
            <w:shd w:val="clear" w:color="auto" w:fill="DEEAF6"/>
            <w:vAlign w:val="center"/>
          </w:tcPr>
          <w:p w:rsidR="00EB6193" w:rsidRPr="004F56BB" w:rsidRDefault="00EB6193" w:rsidP="00022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9</w:t>
            </w:r>
          </w:p>
        </w:tc>
      </w:tr>
      <w:tr w:rsidR="00321E53" w:rsidRPr="00517699" w:rsidTr="00C36402">
        <w:trPr>
          <w:trHeight w:val="101"/>
        </w:trPr>
        <w:tc>
          <w:tcPr>
            <w:tcW w:w="392" w:type="dxa"/>
            <w:shd w:val="clear" w:color="auto" w:fill="auto"/>
          </w:tcPr>
          <w:p w:rsidR="00321E53" w:rsidRPr="000A5F4A" w:rsidRDefault="000A5F4A" w:rsidP="0002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321E53" w:rsidRPr="00FF5966" w:rsidRDefault="007927C5" w:rsidP="0002242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E53" w:rsidRPr="001B4E46" w:rsidRDefault="000A5F4A" w:rsidP="001B4E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  <w:r w:rsidR="001B4E4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21E53" w:rsidRPr="00FF5966" w:rsidRDefault="000A5F4A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321E53" w:rsidRPr="00844EB5" w:rsidRDefault="00BB22B8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321E53" w:rsidRPr="00844EB5" w:rsidRDefault="000A5F4A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</w:t>
            </w:r>
            <w:r w:rsidR="00BB22B8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E53" w:rsidRPr="00844EB5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21E53" w:rsidRPr="0032149C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321E53" w:rsidRPr="0032149C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153</w:t>
            </w:r>
          </w:p>
        </w:tc>
      </w:tr>
      <w:tr w:rsidR="000A5F4A" w:rsidRPr="00517699" w:rsidTr="00C36402">
        <w:trPr>
          <w:trHeight w:val="101"/>
        </w:trPr>
        <w:tc>
          <w:tcPr>
            <w:tcW w:w="392" w:type="dxa"/>
            <w:shd w:val="clear" w:color="auto" w:fill="auto"/>
          </w:tcPr>
          <w:p w:rsidR="000A5F4A" w:rsidRDefault="000A5F4A" w:rsidP="0002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374" w:type="dxa"/>
            <w:shd w:val="clear" w:color="auto" w:fill="auto"/>
          </w:tcPr>
          <w:p w:rsidR="000A5F4A" w:rsidRPr="005757D0" w:rsidRDefault="005757D0" w:rsidP="00575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57D0">
              <w:rPr>
                <w:rFonts w:ascii="Times New Roman" w:hAnsi="Times New Roman"/>
                <w:sz w:val="24"/>
                <w:szCs w:val="24"/>
                <w:lang w:val="uk-UA"/>
              </w:rPr>
              <w:t>Заступник</w:t>
            </w:r>
            <w:r w:rsidRPr="005757D0">
              <w:rPr>
                <w:sz w:val="24"/>
                <w:szCs w:val="24"/>
              </w:rPr>
              <w:t xml:space="preserve"> </w:t>
            </w:r>
            <w:r w:rsidRPr="005757D0">
              <w:rPr>
                <w:rFonts w:ascii="Times New Roman" w:hAnsi="Times New Roman"/>
                <w:sz w:val="24"/>
                <w:szCs w:val="24"/>
                <w:lang w:val="uk-UA"/>
              </w:rPr>
              <w:t>начальника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(вакантне)</w:t>
            </w:r>
            <w:r w:rsidRPr="005757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0A5F4A" w:rsidRPr="00FF5966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0A5F4A" w:rsidRPr="00FF5966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0A5F4A" w:rsidRPr="00844EB5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A5F4A" w:rsidRPr="00844EB5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A5F4A" w:rsidRPr="00844EB5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5F4A" w:rsidRPr="0032149C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A5F4A" w:rsidRPr="0032149C" w:rsidRDefault="000A5F4A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757D0" w:rsidRPr="00517699" w:rsidTr="00C36402">
        <w:trPr>
          <w:trHeight w:val="101"/>
        </w:trPr>
        <w:tc>
          <w:tcPr>
            <w:tcW w:w="392" w:type="dxa"/>
            <w:shd w:val="clear" w:color="auto" w:fill="auto"/>
          </w:tcPr>
          <w:p w:rsidR="005757D0" w:rsidRDefault="005757D0" w:rsidP="00575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374" w:type="dxa"/>
            <w:shd w:val="clear" w:color="auto" w:fill="auto"/>
          </w:tcPr>
          <w:p w:rsidR="005757D0" w:rsidRDefault="005757D0" w:rsidP="005757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Головний спеціаліст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757D0" w:rsidRPr="001B4E46" w:rsidRDefault="005757D0" w:rsidP="001B4E4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  <w:r w:rsidR="001B4E4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757D0" w:rsidRPr="00FF5966" w:rsidRDefault="005757D0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757D0" w:rsidRPr="00844EB5" w:rsidRDefault="005757D0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206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757D0" w:rsidRPr="00844EB5" w:rsidRDefault="005757D0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57D0" w:rsidRPr="00844EB5" w:rsidRDefault="005757D0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157EFF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57D0" w:rsidRPr="0032149C" w:rsidRDefault="005757D0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 w:rsidR="00157EFF">
              <w:rPr>
                <w:rFonts w:ascii="Times New Roman" w:hAnsi="Times New Roman"/>
                <w:lang w:val="uk-UA"/>
              </w:rPr>
              <w:t>08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757D0" w:rsidRPr="0032149C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  <w:r w:rsidR="005757D0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5757D0" w:rsidRPr="00517699" w:rsidTr="00C36402">
        <w:trPr>
          <w:trHeight w:val="101"/>
        </w:trPr>
        <w:tc>
          <w:tcPr>
            <w:tcW w:w="392" w:type="dxa"/>
            <w:shd w:val="clear" w:color="auto" w:fill="auto"/>
          </w:tcPr>
          <w:p w:rsidR="005757D0" w:rsidRDefault="005757D0" w:rsidP="00575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374" w:type="dxa"/>
            <w:shd w:val="clear" w:color="auto" w:fill="auto"/>
          </w:tcPr>
          <w:p w:rsidR="005757D0" w:rsidRDefault="00C36402" w:rsidP="00C36402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Головний спеціаліст </w:t>
            </w:r>
            <w:r w:rsidRPr="00C36402">
              <w:rPr>
                <w:rFonts w:ascii="Times New Roman" w:hAnsi="Times New Roman"/>
                <w:lang w:val="uk-UA"/>
              </w:rPr>
              <w:t>(декрет)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757D0" w:rsidRDefault="00C36402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757D0" w:rsidRDefault="00C36402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757D0" w:rsidRDefault="00C36402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757D0" w:rsidRDefault="00C36402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57D0" w:rsidRDefault="00C36402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57D0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757D0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49</w:t>
            </w:r>
          </w:p>
        </w:tc>
      </w:tr>
      <w:tr w:rsidR="005757D0" w:rsidRPr="00517699" w:rsidTr="00C36402">
        <w:trPr>
          <w:trHeight w:val="101"/>
        </w:trPr>
        <w:tc>
          <w:tcPr>
            <w:tcW w:w="392" w:type="dxa"/>
            <w:shd w:val="clear" w:color="auto" w:fill="auto"/>
          </w:tcPr>
          <w:p w:rsidR="005757D0" w:rsidRDefault="005757D0" w:rsidP="00575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5757D0" w:rsidRDefault="005757D0" w:rsidP="005757D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Головний спеціаліст (декрет)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757D0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5757D0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757D0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757D0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57D0" w:rsidRDefault="00157EFF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57D0" w:rsidRDefault="005757D0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:rsidR="005757D0" w:rsidRDefault="005757D0" w:rsidP="00157EFF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757D0" w:rsidRPr="00BB22B8" w:rsidTr="00157EFF">
        <w:trPr>
          <w:trHeight w:val="91"/>
        </w:trPr>
        <w:tc>
          <w:tcPr>
            <w:tcW w:w="27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7D0" w:rsidRPr="00BB22B8" w:rsidRDefault="005757D0" w:rsidP="00575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B22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D0" w:rsidRPr="00157EFF" w:rsidRDefault="005757D0" w:rsidP="0015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7E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D0" w:rsidRPr="00157EFF" w:rsidRDefault="00C36402" w:rsidP="0015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757D0" w:rsidRPr="00157EFF" w:rsidRDefault="00C36402" w:rsidP="0015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5757D0" w:rsidRPr="00157EFF" w:rsidRDefault="005757D0" w:rsidP="0015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E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757D0" w:rsidRPr="00157EFF" w:rsidRDefault="00C36402" w:rsidP="00157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757D0" w:rsidRPr="00157EFF" w:rsidRDefault="005757D0" w:rsidP="00C3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7E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364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="00157EFF" w:rsidRPr="00157E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757D0" w:rsidRPr="00157EFF" w:rsidRDefault="00157EFF" w:rsidP="00C36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57E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364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</w:p>
        </w:tc>
      </w:tr>
    </w:tbl>
    <w:p w:rsidR="00D4194F" w:rsidRPr="00BB22B8" w:rsidRDefault="00D4194F" w:rsidP="00462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04F0" w:rsidRDefault="00CE04F0" w:rsidP="00462F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83F" w:rsidRDefault="000F383F" w:rsidP="000F38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внутрішнього </w:t>
      </w:r>
      <w:r w:rsidR="00514F3E">
        <w:rPr>
          <w:rFonts w:ascii="Times New Roman" w:hAnsi="Times New Roman"/>
          <w:sz w:val="24"/>
          <w:szCs w:val="24"/>
          <w:lang w:val="uk-UA"/>
        </w:rPr>
        <w:t>контролю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0313">
        <w:rPr>
          <w:rFonts w:ascii="Times New Roman" w:hAnsi="Times New Roman"/>
          <w:sz w:val="24"/>
          <w:szCs w:val="24"/>
          <w:lang w:val="uk-UA"/>
        </w:rPr>
        <w:t>та аудиту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___________</w:t>
      </w:r>
      <w:r>
        <w:rPr>
          <w:rFonts w:ascii="Times New Roman" w:hAnsi="Times New Roman"/>
          <w:sz w:val="24"/>
          <w:szCs w:val="24"/>
        </w:rPr>
        <w:t>__________</w:t>
      </w:r>
      <w:r w:rsidRPr="00D504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</w:t>
      </w:r>
      <w:proofErr w:type="spellStart"/>
      <w:r w:rsidRPr="00390449">
        <w:rPr>
          <w:rFonts w:ascii="Times New Roman" w:hAnsi="Times New Roman"/>
          <w:sz w:val="24"/>
          <w:szCs w:val="24"/>
          <w:lang w:val="uk-UA"/>
        </w:rPr>
        <w:t>Н.В.Лавінюкова</w:t>
      </w:r>
      <w:proofErr w:type="spellEnd"/>
    </w:p>
    <w:p w:rsidR="000F383F" w:rsidRPr="00CA5D41" w:rsidRDefault="000F383F" w:rsidP="000F383F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CA5D41">
        <w:rPr>
          <w:rFonts w:ascii="Times New Roman" w:hAnsi="Times New Roman"/>
          <w:sz w:val="20"/>
          <w:szCs w:val="20"/>
          <w:lang w:val="uk-UA"/>
        </w:rPr>
        <w:t>«</w:t>
      </w:r>
      <w:r w:rsidR="00B835C7">
        <w:rPr>
          <w:rFonts w:ascii="Times New Roman" w:hAnsi="Times New Roman"/>
          <w:sz w:val="20"/>
          <w:szCs w:val="20"/>
          <w:lang w:val="uk-UA"/>
        </w:rPr>
        <w:t>_</w:t>
      </w:r>
      <w:r w:rsidR="00641EA7">
        <w:rPr>
          <w:rFonts w:ascii="Times New Roman" w:hAnsi="Times New Roman"/>
          <w:sz w:val="20"/>
          <w:szCs w:val="20"/>
          <w:lang w:val="uk-UA"/>
        </w:rPr>
        <w:t>01</w:t>
      </w:r>
      <w:r w:rsidR="00B835C7">
        <w:rPr>
          <w:rFonts w:ascii="Times New Roman" w:hAnsi="Times New Roman"/>
          <w:sz w:val="20"/>
          <w:szCs w:val="20"/>
          <w:lang w:val="uk-UA"/>
        </w:rPr>
        <w:t>_</w:t>
      </w:r>
      <w:r w:rsidRPr="00CA5D41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B835C7">
        <w:rPr>
          <w:rFonts w:ascii="Times New Roman" w:hAnsi="Times New Roman"/>
          <w:sz w:val="20"/>
          <w:szCs w:val="20"/>
          <w:lang w:val="uk-UA"/>
        </w:rPr>
        <w:t>_</w:t>
      </w:r>
      <w:r w:rsidR="00641EA7">
        <w:rPr>
          <w:rFonts w:ascii="Times New Roman" w:hAnsi="Times New Roman"/>
          <w:sz w:val="20"/>
          <w:szCs w:val="20"/>
          <w:lang w:val="uk-UA"/>
        </w:rPr>
        <w:t>червня</w:t>
      </w:r>
      <w:r w:rsidR="00B835C7">
        <w:rPr>
          <w:rFonts w:ascii="Times New Roman" w:hAnsi="Times New Roman"/>
          <w:sz w:val="20"/>
          <w:szCs w:val="20"/>
          <w:lang w:val="uk-UA"/>
        </w:rPr>
        <w:t>_2020</w:t>
      </w:r>
      <w:r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:rsidR="000B17C9" w:rsidRDefault="000B17C9" w:rsidP="00F5646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sz w:val="28"/>
          <w:szCs w:val="24"/>
        </w:rPr>
        <w:sectPr w:rsidR="000B17C9" w:rsidSect="00923E20">
          <w:headerReference w:type="even" r:id="rId9"/>
          <w:headerReference w:type="default" r:id="rId10"/>
          <w:pgSz w:w="16839" w:h="11907" w:orient="landscape" w:code="9"/>
          <w:pgMar w:top="1418" w:right="567" w:bottom="567" w:left="1134" w:header="851" w:footer="198" w:gutter="0"/>
          <w:pgNumType w:start="1"/>
          <w:cols w:space="708"/>
          <w:titlePg/>
          <w:docGrid w:linePitch="360"/>
        </w:sectPr>
      </w:pPr>
    </w:p>
    <w:p w:rsidR="00923E20" w:rsidRPr="00A62907" w:rsidRDefault="00923E20" w:rsidP="00923E20">
      <w:pPr>
        <w:spacing w:before="120" w:after="120" w:line="240" w:lineRule="auto"/>
        <w:ind w:left="9072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A62907">
        <w:rPr>
          <w:rFonts w:ascii="Times New Roman" w:eastAsia="Times New Roman" w:hAnsi="Times New Roman"/>
          <w:bCs/>
          <w:sz w:val="24"/>
          <w:szCs w:val="24"/>
          <w:lang w:val="uk-UA"/>
        </w:rPr>
        <w:lastRenderedPageBreak/>
        <w:t>Додаток</w:t>
      </w:r>
    </w:p>
    <w:p w:rsidR="00923E20" w:rsidRPr="00A62907" w:rsidRDefault="00923E20" w:rsidP="00923E20">
      <w:pPr>
        <w:spacing w:before="120" w:after="120" w:line="240" w:lineRule="auto"/>
        <w:ind w:left="9072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A62907">
        <w:rPr>
          <w:rFonts w:ascii="Times New Roman" w:eastAsia="Times New Roman" w:hAnsi="Times New Roman"/>
          <w:bCs/>
          <w:sz w:val="24"/>
          <w:szCs w:val="24"/>
          <w:lang w:val="uk-UA"/>
        </w:rPr>
        <w:t>до операційного плану діяльності з внутрішнього аудиту на 2020 р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>ік</w:t>
      </w:r>
      <w:r w:rsidRPr="00A62907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(із змінами)</w:t>
      </w:r>
    </w:p>
    <w:p w:rsidR="00923E20" w:rsidRPr="00A62907" w:rsidRDefault="00923E20" w:rsidP="00923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p w:rsidR="00923E20" w:rsidRPr="00923E20" w:rsidRDefault="00923E20" w:rsidP="00923E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923E20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ОБҐРУНТУВАННЯ</w:t>
      </w:r>
    </w:p>
    <w:p w:rsidR="00923E20" w:rsidRPr="00923E20" w:rsidRDefault="00923E20" w:rsidP="00923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923E20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щодо внесення змін до </w:t>
      </w:r>
      <w:r w:rsidRPr="00923E20">
        <w:rPr>
          <w:rFonts w:ascii="Times New Roman" w:hAnsi="Times New Roman"/>
          <w:b/>
          <w:sz w:val="24"/>
          <w:szCs w:val="24"/>
          <w:lang w:val="uk-UA"/>
        </w:rPr>
        <w:t xml:space="preserve">операційного плану діяльності </w:t>
      </w:r>
      <w:r w:rsidRPr="00923E20">
        <w:rPr>
          <w:rFonts w:ascii="Times New Roman" w:hAnsi="Times New Roman"/>
          <w:b/>
          <w:bCs/>
          <w:sz w:val="24"/>
          <w:szCs w:val="24"/>
          <w:lang w:val="uk-UA"/>
        </w:rPr>
        <w:t>з внутрішнього аудиту</w:t>
      </w:r>
      <w:r w:rsidRPr="00923E2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923E20">
        <w:rPr>
          <w:rFonts w:ascii="Times New Roman" w:hAnsi="Times New Roman"/>
          <w:b/>
          <w:sz w:val="24"/>
          <w:szCs w:val="24"/>
          <w:u w:val="single"/>
          <w:lang w:val="uk-UA"/>
        </w:rPr>
        <w:t>Міністерства у справах ветеранів України</w:t>
      </w:r>
      <w:r w:rsidRPr="00923E20">
        <w:rPr>
          <w:rFonts w:ascii="Times New Roman" w:hAnsi="Times New Roman"/>
          <w:b/>
          <w:bCs/>
          <w:sz w:val="24"/>
          <w:szCs w:val="24"/>
          <w:lang w:val="uk-UA"/>
        </w:rPr>
        <w:t xml:space="preserve"> на 2020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рік</w:t>
      </w:r>
    </w:p>
    <w:p w:rsidR="00923E20" w:rsidRPr="00923E20" w:rsidRDefault="00923E20" w:rsidP="00923E20">
      <w:pPr>
        <w:spacing w:after="0" w:line="240" w:lineRule="auto"/>
        <w:ind w:left="5040" w:firstLine="720"/>
        <w:rPr>
          <w:rFonts w:ascii="Times New Roman" w:hAnsi="Times New Roman"/>
          <w:bCs/>
          <w:i/>
          <w:sz w:val="16"/>
          <w:szCs w:val="16"/>
          <w:lang w:val="uk-UA"/>
        </w:rPr>
      </w:pPr>
      <w:r w:rsidRPr="00923E20">
        <w:rPr>
          <w:rFonts w:ascii="Times New Roman" w:hAnsi="Times New Roman"/>
          <w:bCs/>
          <w:i/>
          <w:sz w:val="16"/>
          <w:szCs w:val="16"/>
          <w:lang w:val="uk-UA"/>
        </w:rPr>
        <w:t xml:space="preserve">(назва державного органу) </w:t>
      </w:r>
    </w:p>
    <w:p w:rsidR="00923E20" w:rsidRPr="00923E20" w:rsidRDefault="00923E20" w:rsidP="00923E20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uk-UA"/>
        </w:rPr>
      </w:pPr>
      <w:r w:rsidRPr="00923E20">
        <w:rPr>
          <w:rFonts w:ascii="Times New Roman" w:hAnsi="Times New Roman"/>
          <w:bCs/>
          <w:sz w:val="24"/>
          <w:szCs w:val="24"/>
          <w:lang w:val="uk-UA"/>
        </w:rPr>
        <w:t xml:space="preserve">затвердженого </w:t>
      </w:r>
      <w:r w:rsidRPr="00923E20">
        <w:rPr>
          <w:rFonts w:ascii="Times New Roman" w:eastAsia="Times New Roman" w:hAnsi="Times New Roman"/>
          <w:bCs/>
          <w:iCs/>
          <w:sz w:val="24"/>
          <w:szCs w:val="24"/>
          <w:lang w:val="uk-UA"/>
        </w:rPr>
        <w:t xml:space="preserve">Міністром у справах ветеранів України </w:t>
      </w:r>
      <w:r w:rsidRPr="00923E20">
        <w:rPr>
          <w:rFonts w:ascii="Times New Roman" w:hAnsi="Times New Roman"/>
          <w:color w:val="000000"/>
          <w:sz w:val="24"/>
          <w:szCs w:val="24"/>
        </w:rPr>
        <w:t>«</w:t>
      </w:r>
      <w:r w:rsidR="00641EA7">
        <w:rPr>
          <w:rFonts w:ascii="Times New Roman" w:hAnsi="Times New Roman"/>
          <w:color w:val="000000"/>
          <w:sz w:val="24"/>
          <w:szCs w:val="24"/>
          <w:lang w:val="uk-UA"/>
        </w:rPr>
        <w:t>_28</w:t>
      </w:r>
      <w:r w:rsidRPr="00923E20">
        <w:rPr>
          <w:rFonts w:ascii="Times New Roman" w:hAnsi="Times New Roman"/>
          <w:color w:val="000000"/>
          <w:sz w:val="24"/>
          <w:szCs w:val="24"/>
        </w:rPr>
        <w:t>_» _</w:t>
      </w:r>
      <w:r w:rsidR="00641EA7">
        <w:rPr>
          <w:rFonts w:ascii="Times New Roman" w:hAnsi="Times New Roman"/>
          <w:color w:val="000000"/>
          <w:sz w:val="24"/>
          <w:szCs w:val="24"/>
          <w:lang w:val="uk-UA"/>
        </w:rPr>
        <w:t>грудня</w:t>
      </w:r>
      <w:r w:rsidRPr="00923E20">
        <w:rPr>
          <w:rFonts w:ascii="Times New Roman" w:hAnsi="Times New Roman"/>
          <w:color w:val="000000"/>
          <w:sz w:val="24"/>
          <w:szCs w:val="24"/>
        </w:rPr>
        <w:t>_ 20</w:t>
      </w:r>
      <w:r w:rsidR="00BE7BA2">
        <w:rPr>
          <w:rFonts w:ascii="Times New Roman" w:hAnsi="Times New Roman"/>
          <w:color w:val="000000"/>
          <w:sz w:val="24"/>
          <w:szCs w:val="24"/>
          <w:lang w:val="uk-UA"/>
        </w:rPr>
        <w:t>19</w:t>
      </w:r>
      <w:bookmarkStart w:id="4" w:name="_GoBack"/>
      <w:bookmarkEnd w:id="4"/>
      <w:r w:rsidRPr="00923E20">
        <w:rPr>
          <w:rFonts w:ascii="Times New Roman" w:hAnsi="Times New Roman"/>
          <w:color w:val="000000"/>
          <w:sz w:val="24"/>
          <w:szCs w:val="24"/>
        </w:rPr>
        <w:t xml:space="preserve"> року</w:t>
      </w:r>
    </w:p>
    <w:p w:rsidR="00923E20" w:rsidRPr="00A62907" w:rsidRDefault="00923E20" w:rsidP="00923E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23E20" w:rsidRPr="00A62907" w:rsidRDefault="00923E20" w:rsidP="00923E20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62907">
        <w:rPr>
          <w:rFonts w:ascii="Times New Roman" w:hAnsi="Times New Roman"/>
          <w:b/>
          <w:sz w:val="24"/>
          <w:szCs w:val="24"/>
          <w:lang w:val="uk-UA"/>
        </w:rPr>
        <w:t>І. До розділу І</w:t>
      </w:r>
      <w:r w:rsidRPr="00A6290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 «Здійснення внутрішніх аудитів»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2383"/>
        <w:gridCol w:w="2693"/>
        <w:gridCol w:w="2126"/>
        <w:gridCol w:w="6237"/>
      </w:tblGrid>
      <w:tr w:rsidR="00923E20" w:rsidRPr="00A62907" w:rsidTr="00923E20">
        <w:trPr>
          <w:cantSplit/>
          <w:trHeight w:val="1009"/>
        </w:trPr>
        <w:tc>
          <w:tcPr>
            <w:tcW w:w="130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Пункт розділу І Операційного плану</w:t>
            </w:r>
          </w:p>
        </w:tc>
        <w:tc>
          <w:tcPr>
            <w:tcW w:w="238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Включено об’єкт внутрішнього аудиту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Виключено об’єкт внутрішнього аудиту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Зміни щодо об’єкту внутрішнього аудиту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Обґрунтування змін</w:t>
            </w:r>
          </w:p>
        </w:tc>
      </w:tr>
      <w:tr w:rsidR="00923E20" w:rsidRPr="00A62907" w:rsidTr="00923E20">
        <w:tc>
          <w:tcPr>
            <w:tcW w:w="130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38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</w:tr>
      <w:tr w:rsidR="00923E20" w:rsidRPr="00A62907" w:rsidTr="00923E20">
        <w:tc>
          <w:tcPr>
            <w:tcW w:w="1303" w:type="dxa"/>
            <w:shd w:val="clear" w:color="auto" w:fill="auto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2907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23E20" w:rsidRPr="00A62907" w:rsidRDefault="00923E20" w:rsidP="00514F3E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23E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Внесення змін до обсягу робочого часу на проведення аудитів у зв’язку із зменшенням робочого часу на проведення аудиту, розпочатого у 2019 році</w:t>
            </w:r>
            <w:r w:rsidR="001B4E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</w:t>
            </w:r>
            <w:r w:rsidR="001B4E46" w:rsidRPr="001B4E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заповнення</w:t>
            </w:r>
            <w:r w:rsidR="001B4E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="001B4E46" w:rsidRPr="001B4E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вакантної посади</w:t>
            </w:r>
          </w:p>
        </w:tc>
      </w:tr>
    </w:tbl>
    <w:p w:rsidR="00923E20" w:rsidRPr="00A62907" w:rsidRDefault="00923E20" w:rsidP="00923E20">
      <w:pPr>
        <w:spacing w:before="120" w:after="120" w:line="240" w:lineRule="auto"/>
        <w:ind w:firstLine="567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 w:rsidRPr="00A6290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ІІ.</w:t>
      </w:r>
      <w:r w:rsidRPr="00A62907">
        <w:rPr>
          <w:rFonts w:ascii="Times New Roman" w:hAnsi="Times New Roman"/>
          <w:b/>
          <w:sz w:val="24"/>
          <w:szCs w:val="24"/>
          <w:lang w:val="uk-UA"/>
        </w:rPr>
        <w:t xml:space="preserve"> До розділу </w:t>
      </w:r>
      <w:r w:rsidRPr="00A62907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ІІІ «Здійснення іншої діяльності з внутрішнього аудиту»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2383"/>
        <w:gridCol w:w="2693"/>
        <w:gridCol w:w="2126"/>
        <w:gridCol w:w="6237"/>
      </w:tblGrid>
      <w:tr w:rsidR="00923E20" w:rsidRPr="00A62907" w:rsidTr="00923E20">
        <w:trPr>
          <w:cantSplit/>
          <w:trHeight w:val="1009"/>
        </w:trPr>
        <w:tc>
          <w:tcPr>
            <w:tcW w:w="130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Пункт розділу ІІ Операційного плану</w:t>
            </w:r>
          </w:p>
        </w:tc>
        <w:tc>
          <w:tcPr>
            <w:tcW w:w="238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Включено заходи з іншої діяльності з внутрішнього аудиту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Виключено заходи з іншої діяльності з внутрішнього аудиту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Зміни у заходах з іншої діяльності з внутрішнього аудиту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Обґрунтування змін</w:t>
            </w:r>
          </w:p>
        </w:tc>
      </w:tr>
      <w:tr w:rsidR="00923E20" w:rsidRPr="00A62907" w:rsidTr="00923E20">
        <w:tc>
          <w:tcPr>
            <w:tcW w:w="130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238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6237" w:type="dxa"/>
            <w:shd w:val="clear" w:color="auto" w:fill="DEEAF6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A62907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</w:tc>
      </w:tr>
      <w:tr w:rsidR="00923E20" w:rsidRPr="00A62907" w:rsidTr="00923E20">
        <w:tc>
          <w:tcPr>
            <w:tcW w:w="1303" w:type="dxa"/>
            <w:shd w:val="clear" w:color="auto" w:fill="auto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62907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E20" w:rsidRPr="00A62907" w:rsidRDefault="00923E20" w:rsidP="00A14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23E20" w:rsidRPr="00641EA7" w:rsidRDefault="00923E20" w:rsidP="00514F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95A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Внесення змін до обсягу робочого часу на з</w:t>
            </w:r>
            <w:r w:rsidRPr="00757B1F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дійснення іншої діяльності з внутрішнього аудиту</w:t>
            </w:r>
            <w:r w:rsidRPr="00395A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1B4E46" w:rsidRPr="00923E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зв’язку із</w:t>
            </w:r>
            <w:r w:rsidR="001B4E46" w:rsidRPr="001B4E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заповнення</w:t>
            </w:r>
            <w:r w:rsidR="001B4E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</w:t>
            </w:r>
            <w:r w:rsidR="001B4E46" w:rsidRPr="001B4E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вакантної посади</w:t>
            </w:r>
            <w:r w:rsidR="001B4E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</w:tbl>
    <w:p w:rsidR="00923E20" w:rsidRPr="00A62907" w:rsidRDefault="00923E20" w:rsidP="00923E2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23E20" w:rsidRPr="00A62907" w:rsidRDefault="00923E20" w:rsidP="00923E2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923E20" w:rsidRDefault="00923E20" w:rsidP="00923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Відділу внутрішнього </w:t>
      </w:r>
      <w:r w:rsidR="00692FAE">
        <w:rPr>
          <w:rFonts w:ascii="Times New Roman" w:hAnsi="Times New Roman"/>
          <w:sz w:val="24"/>
          <w:szCs w:val="24"/>
          <w:lang w:val="uk-UA"/>
        </w:rPr>
        <w:t>контролю</w:t>
      </w:r>
      <w:r w:rsidR="0032720F">
        <w:rPr>
          <w:rFonts w:ascii="Times New Roman" w:hAnsi="Times New Roman"/>
          <w:sz w:val="24"/>
          <w:szCs w:val="24"/>
          <w:lang w:val="uk-UA"/>
        </w:rPr>
        <w:t xml:space="preserve"> та аудиту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>___________</w:t>
      </w:r>
      <w:r>
        <w:rPr>
          <w:rFonts w:ascii="Times New Roman" w:hAnsi="Times New Roman"/>
          <w:sz w:val="24"/>
          <w:szCs w:val="24"/>
        </w:rPr>
        <w:t>__________</w:t>
      </w:r>
      <w:r w:rsidRPr="00D5042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</w:t>
      </w:r>
      <w:proofErr w:type="spellStart"/>
      <w:r w:rsidRPr="00390449">
        <w:rPr>
          <w:rFonts w:ascii="Times New Roman" w:hAnsi="Times New Roman"/>
          <w:sz w:val="24"/>
          <w:szCs w:val="24"/>
          <w:lang w:val="uk-UA"/>
        </w:rPr>
        <w:t>Н.В.Лавінюкова</w:t>
      </w:r>
      <w:proofErr w:type="spellEnd"/>
    </w:p>
    <w:p w:rsidR="00E23F77" w:rsidRPr="00F56461" w:rsidRDefault="00923E20" w:rsidP="00923E20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A5D41">
        <w:rPr>
          <w:rFonts w:ascii="Times New Roman" w:hAnsi="Times New Roman"/>
          <w:sz w:val="20"/>
          <w:szCs w:val="20"/>
          <w:lang w:val="uk-UA"/>
        </w:rPr>
        <w:t>«</w:t>
      </w:r>
      <w:r w:rsidR="00641EA7">
        <w:rPr>
          <w:rFonts w:ascii="Times New Roman" w:hAnsi="Times New Roman"/>
          <w:sz w:val="20"/>
          <w:szCs w:val="20"/>
          <w:lang w:val="uk-UA"/>
        </w:rPr>
        <w:t>_01</w:t>
      </w:r>
      <w:r>
        <w:rPr>
          <w:rFonts w:ascii="Times New Roman" w:hAnsi="Times New Roman"/>
          <w:sz w:val="20"/>
          <w:szCs w:val="20"/>
          <w:lang w:val="uk-UA"/>
        </w:rPr>
        <w:t>_</w:t>
      </w:r>
      <w:r w:rsidRPr="00CA5D41">
        <w:rPr>
          <w:rFonts w:ascii="Times New Roman" w:hAnsi="Times New Roman"/>
          <w:sz w:val="20"/>
          <w:szCs w:val="20"/>
          <w:lang w:val="uk-UA"/>
        </w:rPr>
        <w:t xml:space="preserve">» </w:t>
      </w:r>
      <w:r w:rsidR="00641EA7">
        <w:rPr>
          <w:rFonts w:ascii="Times New Roman" w:hAnsi="Times New Roman"/>
          <w:sz w:val="20"/>
          <w:szCs w:val="20"/>
          <w:lang w:val="uk-UA"/>
        </w:rPr>
        <w:t>червня</w:t>
      </w:r>
      <w:r>
        <w:rPr>
          <w:rFonts w:ascii="Times New Roman" w:hAnsi="Times New Roman"/>
          <w:sz w:val="20"/>
          <w:szCs w:val="20"/>
          <w:lang w:val="uk-UA"/>
        </w:rPr>
        <w:t>_2020 року</w:t>
      </w:r>
    </w:p>
    <w:sectPr w:rsidR="00E23F77" w:rsidRPr="00F56461" w:rsidSect="006734B4">
      <w:pgSz w:w="16839" w:h="11907" w:orient="landscape" w:code="9"/>
      <w:pgMar w:top="1418" w:right="1134" w:bottom="567" w:left="1134" w:header="851" w:footer="1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8E4" w:rsidRDefault="00F978E4" w:rsidP="003804A6">
      <w:pPr>
        <w:spacing w:after="0" w:line="240" w:lineRule="auto"/>
      </w:pPr>
      <w:r>
        <w:separator/>
      </w:r>
    </w:p>
  </w:endnote>
  <w:endnote w:type="continuationSeparator" w:id="0">
    <w:p w:rsidR="00F978E4" w:rsidRDefault="00F978E4" w:rsidP="0038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8E4" w:rsidRDefault="00F978E4" w:rsidP="003804A6">
      <w:pPr>
        <w:spacing w:after="0" w:line="240" w:lineRule="auto"/>
      </w:pPr>
      <w:r>
        <w:separator/>
      </w:r>
    </w:p>
  </w:footnote>
  <w:footnote w:type="continuationSeparator" w:id="0">
    <w:p w:rsidR="00F978E4" w:rsidRDefault="00F978E4" w:rsidP="0038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6D" w:rsidRPr="00E93B42" w:rsidRDefault="005A5A6D" w:rsidP="00E93B42">
    <w:pPr>
      <w:pStyle w:val="ae"/>
    </w:pPr>
    <w:r>
      <w:rPr>
        <w:b/>
      </w:rPr>
      <w:tab/>
    </w:r>
    <w:r>
      <w:rPr>
        <w:b/>
      </w:rPr>
      <w:tab/>
    </w:r>
    <w:r w:rsidRPr="00087D3F">
      <w:rPr>
        <w:b/>
      </w:rPr>
      <w:t>PRILOG 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43" w:rsidRDefault="00DD5E43" w:rsidP="00F315C4">
    <w:pPr>
      <w:pStyle w:val="ae"/>
      <w:jc w:val="center"/>
      <w:rPr>
        <w:rFonts w:ascii="Times New Roman" w:hAnsi="Times New Roman"/>
        <w:sz w:val="20"/>
        <w:szCs w:val="20"/>
      </w:rPr>
    </w:pPr>
  </w:p>
  <w:p w:rsidR="005A5A6D" w:rsidRPr="00136BBE" w:rsidRDefault="005A5A6D" w:rsidP="00F315C4">
    <w:pPr>
      <w:pStyle w:val="ae"/>
      <w:jc w:val="center"/>
      <w:rPr>
        <w:rFonts w:ascii="Times New Roman" w:hAnsi="Times New Roman"/>
        <w:sz w:val="20"/>
        <w:szCs w:val="20"/>
      </w:rPr>
    </w:pPr>
    <w:r w:rsidRPr="00136BBE">
      <w:rPr>
        <w:rFonts w:ascii="Times New Roman" w:hAnsi="Times New Roman"/>
        <w:sz w:val="20"/>
        <w:szCs w:val="20"/>
      </w:rPr>
      <w:fldChar w:fldCharType="begin"/>
    </w:r>
    <w:r w:rsidRPr="00136BBE">
      <w:rPr>
        <w:rFonts w:ascii="Times New Roman" w:hAnsi="Times New Roman"/>
        <w:sz w:val="20"/>
        <w:szCs w:val="20"/>
      </w:rPr>
      <w:instrText xml:space="preserve"> PAGE   \* MERGEFORMAT </w:instrText>
    </w:r>
    <w:r w:rsidRPr="00136BBE">
      <w:rPr>
        <w:rFonts w:ascii="Times New Roman" w:hAnsi="Times New Roman"/>
        <w:sz w:val="20"/>
        <w:szCs w:val="20"/>
      </w:rPr>
      <w:fldChar w:fldCharType="separate"/>
    </w:r>
    <w:r w:rsidR="00BE7BA2">
      <w:rPr>
        <w:rFonts w:ascii="Times New Roman" w:hAnsi="Times New Roman"/>
        <w:noProof/>
        <w:sz w:val="20"/>
        <w:szCs w:val="20"/>
      </w:rPr>
      <w:t>6</w:t>
    </w:r>
    <w:r w:rsidRPr="00136BBE">
      <w:rPr>
        <w:rFonts w:ascii="Times New Roman" w:hAnsi="Times New Roman"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51"/>
    <w:multiLevelType w:val="hybridMultilevel"/>
    <w:tmpl w:val="3B0A5AB6"/>
    <w:lvl w:ilvl="0" w:tplc="081452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7A92"/>
    <w:multiLevelType w:val="hybridMultilevel"/>
    <w:tmpl w:val="6F3AA7B8"/>
    <w:lvl w:ilvl="0" w:tplc="E6C847A8">
      <w:numFmt w:val="bullet"/>
      <w:lvlText w:val="–"/>
      <w:lvlJc w:val="left"/>
      <w:pPr>
        <w:ind w:left="1069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60633D"/>
    <w:multiLevelType w:val="hybridMultilevel"/>
    <w:tmpl w:val="D1D80096"/>
    <w:lvl w:ilvl="0" w:tplc="E6C847A8">
      <w:numFmt w:val="bullet"/>
      <w:lvlText w:val="–"/>
      <w:lvlJc w:val="left"/>
      <w:pPr>
        <w:ind w:left="720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4219"/>
    <w:multiLevelType w:val="hybridMultilevel"/>
    <w:tmpl w:val="35463FCE"/>
    <w:lvl w:ilvl="0" w:tplc="FEFC92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A2B28"/>
    <w:multiLevelType w:val="hybridMultilevel"/>
    <w:tmpl w:val="95BCC5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36F0A"/>
    <w:multiLevelType w:val="hybridMultilevel"/>
    <w:tmpl w:val="349820B8"/>
    <w:lvl w:ilvl="0" w:tplc="C2D281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4C0425"/>
    <w:multiLevelType w:val="hybridMultilevel"/>
    <w:tmpl w:val="CE4CD858"/>
    <w:lvl w:ilvl="0" w:tplc="5A5E3F60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85" w:hanging="360"/>
      </w:pPr>
    </w:lvl>
    <w:lvl w:ilvl="2" w:tplc="141A001B" w:tentative="1">
      <w:start w:val="1"/>
      <w:numFmt w:val="lowerRoman"/>
      <w:lvlText w:val="%3."/>
      <w:lvlJc w:val="right"/>
      <w:pPr>
        <w:ind w:left="2205" w:hanging="180"/>
      </w:pPr>
    </w:lvl>
    <w:lvl w:ilvl="3" w:tplc="141A000F" w:tentative="1">
      <w:start w:val="1"/>
      <w:numFmt w:val="decimal"/>
      <w:lvlText w:val="%4."/>
      <w:lvlJc w:val="left"/>
      <w:pPr>
        <w:ind w:left="2925" w:hanging="360"/>
      </w:pPr>
    </w:lvl>
    <w:lvl w:ilvl="4" w:tplc="141A0019" w:tentative="1">
      <w:start w:val="1"/>
      <w:numFmt w:val="lowerLetter"/>
      <w:lvlText w:val="%5."/>
      <w:lvlJc w:val="left"/>
      <w:pPr>
        <w:ind w:left="3645" w:hanging="360"/>
      </w:pPr>
    </w:lvl>
    <w:lvl w:ilvl="5" w:tplc="141A001B" w:tentative="1">
      <w:start w:val="1"/>
      <w:numFmt w:val="lowerRoman"/>
      <w:lvlText w:val="%6."/>
      <w:lvlJc w:val="right"/>
      <w:pPr>
        <w:ind w:left="4365" w:hanging="180"/>
      </w:pPr>
    </w:lvl>
    <w:lvl w:ilvl="6" w:tplc="141A000F" w:tentative="1">
      <w:start w:val="1"/>
      <w:numFmt w:val="decimal"/>
      <w:lvlText w:val="%7."/>
      <w:lvlJc w:val="left"/>
      <w:pPr>
        <w:ind w:left="5085" w:hanging="360"/>
      </w:pPr>
    </w:lvl>
    <w:lvl w:ilvl="7" w:tplc="141A0019" w:tentative="1">
      <w:start w:val="1"/>
      <w:numFmt w:val="lowerLetter"/>
      <w:lvlText w:val="%8."/>
      <w:lvlJc w:val="left"/>
      <w:pPr>
        <w:ind w:left="5805" w:hanging="360"/>
      </w:pPr>
    </w:lvl>
    <w:lvl w:ilvl="8" w:tplc="1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C331142"/>
    <w:multiLevelType w:val="hybridMultilevel"/>
    <w:tmpl w:val="8BDA8FFE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F15FC"/>
    <w:multiLevelType w:val="hybridMultilevel"/>
    <w:tmpl w:val="CB7E4EFA"/>
    <w:lvl w:ilvl="0" w:tplc="5E70460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E3F1A40"/>
    <w:multiLevelType w:val="hybridMultilevel"/>
    <w:tmpl w:val="91501FE0"/>
    <w:lvl w:ilvl="0" w:tplc="E6C847A8">
      <w:numFmt w:val="bullet"/>
      <w:lvlText w:val="–"/>
      <w:lvlJc w:val="left"/>
      <w:pPr>
        <w:ind w:left="720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6B7D"/>
    <w:multiLevelType w:val="hybridMultilevel"/>
    <w:tmpl w:val="EACC2F16"/>
    <w:lvl w:ilvl="0" w:tplc="B762C8FE">
      <w:start w:val="2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260"/>
    <w:multiLevelType w:val="hybridMultilevel"/>
    <w:tmpl w:val="8028FCE8"/>
    <w:lvl w:ilvl="0" w:tplc="E6C847A8">
      <w:numFmt w:val="bullet"/>
      <w:lvlText w:val="–"/>
      <w:lvlJc w:val="left"/>
      <w:pPr>
        <w:ind w:left="720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D0AA3"/>
    <w:multiLevelType w:val="hybridMultilevel"/>
    <w:tmpl w:val="90EAE0CE"/>
    <w:lvl w:ilvl="0" w:tplc="F2C863D0">
      <w:numFmt w:val="bullet"/>
      <w:lvlText w:val="–"/>
      <w:lvlJc w:val="left"/>
      <w:pPr>
        <w:ind w:left="1069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7924BB3"/>
    <w:multiLevelType w:val="hybridMultilevel"/>
    <w:tmpl w:val="3C8E813E"/>
    <w:lvl w:ilvl="0" w:tplc="7D42F2D0">
      <w:start w:val="1"/>
      <w:numFmt w:val="decimal"/>
      <w:lvlText w:val="(%1)"/>
      <w:lvlJc w:val="left"/>
      <w:pPr>
        <w:ind w:left="1080" w:hanging="360"/>
      </w:pPr>
      <w:rPr>
        <w:rFonts w:ascii="Arial Narrow" w:eastAsia="Calibri" w:hAnsi="Arial Narrow" w:cs="Arial Narro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7D42F2D0">
      <w:start w:val="1"/>
      <w:numFmt w:val="decimal"/>
      <w:lvlText w:val="(%4)"/>
      <w:lvlJc w:val="left"/>
      <w:pPr>
        <w:ind w:left="3240" w:hanging="360"/>
      </w:pPr>
      <w:rPr>
        <w:rFonts w:ascii="Arial Narrow" w:eastAsia="Calibri" w:hAnsi="Arial Narrow" w:cs="Arial Narrow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8D0A27C6">
      <w:start w:val="1"/>
      <w:numFmt w:val="decimal"/>
      <w:lvlText w:val="%7."/>
      <w:lvlJc w:val="left"/>
      <w:pPr>
        <w:ind w:left="786" w:hanging="360"/>
      </w:pPr>
      <w:rPr>
        <w:sz w:val="24"/>
        <w:szCs w:val="24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8B4BBB"/>
    <w:multiLevelType w:val="hybridMultilevel"/>
    <w:tmpl w:val="05A4A9F0"/>
    <w:lvl w:ilvl="0" w:tplc="F280E1E2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651EA"/>
    <w:multiLevelType w:val="hybridMultilevel"/>
    <w:tmpl w:val="99F010E4"/>
    <w:lvl w:ilvl="0" w:tplc="AC7C9C82">
      <w:start w:val="11"/>
      <w:numFmt w:val="bullet"/>
      <w:lvlText w:val="–"/>
      <w:lvlJc w:val="left"/>
      <w:pPr>
        <w:ind w:left="1069" w:hanging="360"/>
      </w:pPr>
      <w:rPr>
        <w:rFonts w:ascii="Arial Narrow" w:eastAsia="Calibri" w:hAnsi="Arial Narrow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DF41F67"/>
    <w:multiLevelType w:val="hybridMultilevel"/>
    <w:tmpl w:val="B7C0DF14"/>
    <w:lvl w:ilvl="0" w:tplc="A06E35CC">
      <w:start w:val="2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40A8E"/>
    <w:multiLevelType w:val="hybridMultilevel"/>
    <w:tmpl w:val="E9ECC2B0"/>
    <w:lvl w:ilvl="0" w:tplc="DED89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5042"/>
    <w:multiLevelType w:val="hybridMultilevel"/>
    <w:tmpl w:val="C8C00A10"/>
    <w:lvl w:ilvl="0" w:tplc="C60A0A48">
      <w:numFmt w:val="bullet"/>
      <w:lvlText w:val="–"/>
      <w:lvlJc w:val="left"/>
      <w:pPr>
        <w:ind w:left="2149" w:hanging="144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8D27C9F"/>
    <w:multiLevelType w:val="hybridMultilevel"/>
    <w:tmpl w:val="3FC84E5E"/>
    <w:lvl w:ilvl="0" w:tplc="BBA64B4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36D07"/>
    <w:multiLevelType w:val="hybridMultilevel"/>
    <w:tmpl w:val="BCF8FB2A"/>
    <w:lvl w:ilvl="0" w:tplc="041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0358D"/>
    <w:multiLevelType w:val="hybridMultilevel"/>
    <w:tmpl w:val="F54876B6"/>
    <w:lvl w:ilvl="0" w:tplc="F4E208E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A46169E"/>
    <w:multiLevelType w:val="hybridMultilevel"/>
    <w:tmpl w:val="286053BA"/>
    <w:lvl w:ilvl="0" w:tplc="9D50AC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C081327"/>
    <w:multiLevelType w:val="hybridMultilevel"/>
    <w:tmpl w:val="D60E6DD8"/>
    <w:lvl w:ilvl="0" w:tplc="E6C847A8">
      <w:numFmt w:val="bullet"/>
      <w:lvlText w:val="–"/>
      <w:lvlJc w:val="left"/>
      <w:pPr>
        <w:ind w:left="1429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DA616AB"/>
    <w:multiLevelType w:val="hybridMultilevel"/>
    <w:tmpl w:val="C7A0FA48"/>
    <w:lvl w:ilvl="0" w:tplc="0CEAD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22413C"/>
    <w:multiLevelType w:val="hybridMultilevel"/>
    <w:tmpl w:val="A17EE1B4"/>
    <w:lvl w:ilvl="0" w:tplc="E6C847A8">
      <w:numFmt w:val="bullet"/>
      <w:lvlText w:val="–"/>
      <w:lvlJc w:val="left"/>
      <w:pPr>
        <w:ind w:left="720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36628"/>
    <w:multiLevelType w:val="hybridMultilevel"/>
    <w:tmpl w:val="8E16446E"/>
    <w:lvl w:ilvl="0" w:tplc="E6C847A8">
      <w:numFmt w:val="bullet"/>
      <w:lvlText w:val="–"/>
      <w:lvlJc w:val="left"/>
      <w:pPr>
        <w:ind w:left="720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853B6"/>
    <w:multiLevelType w:val="hybridMultilevel"/>
    <w:tmpl w:val="7E1C7F34"/>
    <w:lvl w:ilvl="0" w:tplc="E6C847A8">
      <w:numFmt w:val="bullet"/>
      <w:lvlText w:val="–"/>
      <w:lvlJc w:val="left"/>
      <w:pPr>
        <w:ind w:left="1494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5C95601"/>
    <w:multiLevelType w:val="hybridMultilevel"/>
    <w:tmpl w:val="7218A668"/>
    <w:lvl w:ilvl="0" w:tplc="E6C847A8">
      <w:numFmt w:val="bullet"/>
      <w:lvlText w:val="–"/>
      <w:lvlJc w:val="left"/>
      <w:pPr>
        <w:ind w:left="720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E569F"/>
    <w:multiLevelType w:val="hybridMultilevel"/>
    <w:tmpl w:val="2132EAE0"/>
    <w:lvl w:ilvl="0" w:tplc="B22A88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6B64C0"/>
    <w:multiLevelType w:val="multilevel"/>
    <w:tmpl w:val="B0B00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99C4D4F"/>
    <w:multiLevelType w:val="hybridMultilevel"/>
    <w:tmpl w:val="A66A9D5E"/>
    <w:lvl w:ilvl="0" w:tplc="E6B8CF70">
      <w:start w:val="1"/>
      <w:numFmt w:val="bullet"/>
      <w:lvlText w:val="-"/>
      <w:lvlJc w:val="left"/>
      <w:pPr>
        <w:ind w:left="199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6B1C4D22"/>
    <w:multiLevelType w:val="multilevel"/>
    <w:tmpl w:val="C6B8FA7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3AD7548"/>
    <w:multiLevelType w:val="hybridMultilevel"/>
    <w:tmpl w:val="1610B2F2"/>
    <w:lvl w:ilvl="0" w:tplc="E6C847A8">
      <w:numFmt w:val="bullet"/>
      <w:lvlText w:val="–"/>
      <w:lvlJc w:val="left"/>
      <w:pPr>
        <w:ind w:left="1429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6672501"/>
    <w:multiLevelType w:val="hybridMultilevel"/>
    <w:tmpl w:val="1D024370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07625A"/>
    <w:multiLevelType w:val="hybridMultilevel"/>
    <w:tmpl w:val="A6DE33FC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14A31"/>
    <w:multiLevelType w:val="hybridMultilevel"/>
    <w:tmpl w:val="F7A288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C3672"/>
    <w:multiLevelType w:val="hybridMultilevel"/>
    <w:tmpl w:val="23BEAF26"/>
    <w:lvl w:ilvl="0" w:tplc="C9C058D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7E6D6DA5"/>
    <w:multiLevelType w:val="hybridMultilevel"/>
    <w:tmpl w:val="8D36F702"/>
    <w:lvl w:ilvl="0" w:tplc="14DA547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EAA1335"/>
    <w:multiLevelType w:val="hybridMultilevel"/>
    <w:tmpl w:val="25D2342A"/>
    <w:lvl w:ilvl="0" w:tplc="E6C847A8">
      <w:numFmt w:val="bullet"/>
      <w:lvlText w:val="–"/>
      <w:lvlJc w:val="left"/>
      <w:pPr>
        <w:ind w:left="720" w:hanging="360"/>
      </w:pPr>
      <w:rPr>
        <w:rFonts w:ascii="Calibri" w:eastAsia="Calibri" w:hAnsi="Calibri" w:cs="Arial Narrow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31"/>
  </w:num>
  <w:num w:numId="4">
    <w:abstractNumId w:val="29"/>
  </w:num>
  <w:num w:numId="5">
    <w:abstractNumId w:val="22"/>
  </w:num>
  <w:num w:numId="6">
    <w:abstractNumId w:val="8"/>
  </w:num>
  <w:num w:numId="7">
    <w:abstractNumId w:val="0"/>
  </w:num>
  <w:num w:numId="8">
    <w:abstractNumId w:val="16"/>
  </w:num>
  <w:num w:numId="9">
    <w:abstractNumId w:val="17"/>
  </w:num>
  <w:num w:numId="10">
    <w:abstractNumId w:val="19"/>
  </w:num>
  <w:num w:numId="11">
    <w:abstractNumId w:val="14"/>
  </w:num>
  <w:num w:numId="12">
    <w:abstractNumId w:val="10"/>
  </w:num>
  <w:num w:numId="13">
    <w:abstractNumId w:val="24"/>
  </w:num>
  <w:num w:numId="14">
    <w:abstractNumId w:val="13"/>
  </w:num>
  <w:num w:numId="15">
    <w:abstractNumId w:val="15"/>
  </w:num>
  <w:num w:numId="16">
    <w:abstractNumId w:val="1"/>
  </w:num>
  <w:num w:numId="17">
    <w:abstractNumId w:val="9"/>
  </w:num>
  <w:num w:numId="18">
    <w:abstractNumId w:val="12"/>
  </w:num>
  <w:num w:numId="19">
    <w:abstractNumId w:val="33"/>
  </w:num>
  <w:num w:numId="20">
    <w:abstractNumId w:val="27"/>
  </w:num>
  <w:num w:numId="21">
    <w:abstractNumId w:val="2"/>
  </w:num>
  <w:num w:numId="22">
    <w:abstractNumId w:val="26"/>
  </w:num>
  <w:num w:numId="23">
    <w:abstractNumId w:val="4"/>
  </w:num>
  <w:num w:numId="24">
    <w:abstractNumId w:val="18"/>
  </w:num>
  <w:num w:numId="25">
    <w:abstractNumId w:val="25"/>
  </w:num>
  <w:num w:numId="26">
    <w:abstractNumId w:val="23"/>
  </w:num>
  <w:num w:numId="27">
    <w:abstractNumId w:val="39"/>
  </w:num>
  <w:num w:numId="28">
    <w:abstractNumId w:val="28"/>
  </w:num>
  <w:num w:numId="29">
    <w:abstractNumId w:val="11"/>
  </w:num>
  <w:num w:numId="30">
    <w:abstractNumId w:val="34"/>
  </w:num>
  <w:num w:numId="31">
    <w:abstractNumId w:val="20"/>
  </w:num>
  <w:num w:numId="32">
    <w:abstractNumId w:val="37"/>
  </w:num>
  <w:num w:numId="33">
    <w:abstractNumId w:val="32"/>
  </w:num>
  <w:num w:numId="34">
    <w:abstractNumId w:val="21"/>
  </w:num>
  <w:num w:numId="35">
    <w:abstractNumId w:val="30"/>
  </w:num>
  <w:num w:numId="36">
    <w:abstractNumId w:val="6"/>
  </w:num>
  <w:num w:numId="37">
    <w:abstractNumId w:val="35"/>
  </w:num>
  <w:num w:numId="38">
    <w:abstractNumId w:val="7"/>
  </w:num>
  <w:num w:numId="39">
    <w:abstractNumId w:val="3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F"/>
    <w:rsid w:val="0000057E"/>
    <w:rsid w:val="00001FFF"/>
    <w:rsid w:val="00004C82"/>
    <w:rsid w:val="00004EBD"/>
    <w:rsid w:val="000053D5"/>
    <w:rsid w:val="00007401"/>
    <w:rsid w:val="0001028D"/>
    <w:rsid w:val="00011161"/>
    <w:rsid w:val="000127D2"/>
    <w:rsid w:val="00013A52"/>
    <w:rsid w:val="00013FCE"/>
    <w:rsid w:val="000144EF"/>
    <w:rsid w:val="00014E56"/>
    <w:rsid w:val="00017418"/>
    <w:rsid w:val="00021299"/>
    <w:rsid w:val="00022422"/>
    <w:rsid w:val="000237CB"/>
    <w:rsid w:val="00026811"/>
    <w:rsid w:val="00030C3C"/>
    <w:rsid w:val="00030FA9"/>
    <w:rsid w:val="0003516F"/>
    <w:rsid w:val="00036761"/>
    <w:rsid w:val="00041B52"/>
    <w:rsid w:val="0005000A"/>
    <w:rsid w:val="00050AAC"/>
    <w:rsid w:val="00051974"/>
    <w:rsid w:val="0005224F"/>
    <w:rsid w:val="0005247F"/>
    <w:rsid w:val="00053BC9"/>
    <w:rsid w:val="00054ADD"/>
    <w:rsid w:val="000563E2"/>
    <w:rsid w:val="000603C6"/>
    <w:rsid w:val="00061EE7"/>
    <w:rsid w:val="00062EC3"/>
    <w:rsid w:val="00066F06"/>
    <w:rsid w:val="00071EE4"/>
    <w:rsid w:val="00075F20"/>
    <w:rsid w:val="00076791"/>
    <w:rsid w:val="00077346"/>
    <w:rsid w:val="000800FA"/>
    <w:rsid w:val="00080C78"/>
    <w:rsid w:val="00081000"/>
    <w:rsid w:val="00082C07"/>
    <w:rsid w:val="0008323F"/>
    <w:rsid w:val="0008496F"/>
    <w:rsid w:val="0008502F"/>
    <w:rsid w:val="0009166B"/>
    <w:rsid w:val="000919EE"/>
    <w:rsid w:val="00094B49"/>
    <w:rsid w:val="00094F85"/>
    <w:rsid w:val="000971C4"/>
    <w:rsid w:val="000A069F"/>
    <w:rsid w:val="000A2B46"/>
    <w:rsid w:val="000A2D23"/>
    <w:rsid w:val="000A3FE8"/>
    <w:rsid w:val="000A40BC"/>
    <w:rsid w:val="000A5D31"/>
    <w:rsid w:val="000A5F4A"/>
    <w:rsid w:val="000B0A7C"/>
    <w:rsid w:val="000B17C9"/>
    <w:rsid w:val="000B20C3"/>
    <w:rsid w:val="000B3C6F"/>
    <w:rsid w:val="000B485F"/>
    <w:rsid w:val="000B77FF"/>
    <w:rsid w:val="000C093E"/>
    <w:rsid w:val="000C2A2C"/>
    <w:rsid w:val="000C3075"/>
    <w:rsid w:val="000C4CEC"/>
    <w:rsid w:val="000C5ABD"/>
    <w:rsid w:val="000C667B"/>
    <w:rsid w:val="000D134D"/>
    <w:rsid w:val="000E17FA"/>
    <w:rsid w:val="000E321D"/>
    <w:rsid w:val="000E4789"/>
    <w:rsid w:val="000E70D5"/>
    <w:rsid w:val="000E70F5"/>
    <w:rsid w:val="000F08D3"/>
    <w:rsid w:val="000F19DD"/>
    <w:rsid w:val="000F383F"/>
    <w:rsid w:val="000F79AC"/>
    <w:rsid w:val="00100E52"/>
    <w:rsid w:val="00101BF2"/>
    <w:rsid w:val="001035FB"/>
    <w:rsid w:val="001058EB"/>
    <w:rsid w:val="0010599D"/>
    <w:rsid w:val="00106BF7"/>
    <w:rsid w:val="00107182"/>
    <w:rsid w:val="00110AAB"/>
    <w:rsid w:val="00111675"/>
    <w:rsid w:val="00111905"/>
    <w:rsid w:val="00111B98"/>
    <w:rsid w:val="00113A15"/>
    <w:rsid w:val="001156B0"/>
    <w:rsid w:val="001163E9"/>
    <w:rsid w:val="00116C46"/>
    <w:rsid w:val="00120872"/>
    <w:rsid w:val="00121414"/>
    <w:rsid w:val="00121620"/>
    <w:rsid w:val="0012568A"/>
    <w:rsid w:val="0012642B"/>
    <w:rsid w:val="00127E25"/>
    <w:rsid w:val="00133777"/>
    <w:rsid w:val="00136BBE"/>
    <w:rsid w:val="00140169"/>
    <w:rsid w:val="001405E7"/>
    <w:rsid w:val="00145852"/>
    <w:rsid w:val="00145915"/>
    <w:rsid w:val="00145ECD"/>
    <w:rsid w:val="00147BE5"/>
    <w:rsid w:val="00150F84"/>
    <w:rsid w:val="00157EFF"/>
    <w:rsid w:val="00160D92"/>
    <w:rsid w:val="00162E8C"/>
    <w:rsid w:val="00166E04"/>
    <w:rsid w:val="001672F6"/>
    <w:rsid w:val="00167448"/>
    <w:rsid w:val="0017452E"/>
    <w:rsid w:val="001748F0"/>
    <w:rsid w:val="00175979"/>
    <w:rsid w:val="00176202"/>
    <w:rsid w:val="00181BB5"/>
    <w:rsid w:val="00185267"/>
    <w:rsid w:val="00185BC7"/>
    <w:rsid w:val="00187F67"/>
    <w:rsid w:val="00196429"/>
    <w:rsid w:val="001A12A8"/>
    <w:rsid w:val="001A1A69"/>
    <w:rsid w:val="001A3ED6"/>
    <w:rsid w:val="001A4B8E"/>
    <w:rsid w:val="001A7D5B"/>
    <w:rsid w:val="001B0DF4"/>
    <w:rsid w:val="001B3068"/>
    <w:rsid w:val="001B39C3"/>
    <w:rsid w:val="001B4E46"/>
    <w:rsid w:val="001B5625"/>
    <w:rsid w:val="001B5C25"/>
    <w:rsid w:val="001B6DC5"/>
    <w:rsid w:val="001B746E"/>
    <w:rsid w:val="001C186E"/>
    <w:rsid w:val="001D1796"/>
    <w:rsid w:val="001D26E2"/>
    <w:rsid w:val="001D57A5"/>
    <w:rsid w:val="001D7AD2"/>
    <w:rsid w:val="001E1C94"/>
    <w:rsid w:val="001E545B"/>
    <w:rsid w:val="001E54D1"/>
    <w:rsid w:val="001F04A4"/>
    <w:rsid w:val="001F0CCA"/>
    <w:rsid w:val="001F1B43"/>
    <w:rsid w:val="001F1B6F"/>
    <w:rsid w:val="001F2D6E"/>
    <w:rsid w:val="00200F7B"/>
    <w:rsid w:val="00201BC6"/>
    <w:rsid w:val="002047DB"/>
    <w:rsid w:val="002048C5"/>
    <w:rsid w:val="00205184"/>
    <w:rsid w:val="002071F4"/>
    <w:rsid w:val="00212B18"/>
    <w:rsid w:val="002152F6"/>
    <w:rsid w:val="0021741F"/>
    <w:rsid w:val="002206E2"/>
    <w:rsid w:val="00220FFE"/>
    <w:rsid w:val="00222D01"/>
    <w:rsid w:val="002242B6"/>
    <w:rsid w:val="00225C19"/>
    <w:rsid w:val="00226A83"/>
    <w:rsid w:val="00232FAB"/>
    <w:rsid w:val="00233368"/>
    <w:rsid w:val="00234032"/>
    <w:rsid w:val="00234C34"/>
    <w:rsid w:val="002354B6"/>
    <w:rsid w:val="002408E1"/>
    <w:rsid w:val="00240CB6"/>
    <w:rsid w:val="00241CFE"/>
    <w:rsid w:val="002431C9"/>
    <w:rsid w:val="00243BE0"/>
    <w:rsid w:val="0024453B"/>
    <w:rsid w:val="002455E4"/>
    <w:rsid w:val="00245664"/>
    <w:rsid w:val="00245ED2"/>
    <w:rsid w:val="00245F3F"/>
    <w:rsid w:val="00247CF6"/>
    <w:rsid w:val="002511DB"/>
    <w:rsid w:val="002568C8"/>
    <w:rsid w:val="002570C4"/>
    <w:rsid w:val="00260794"/>
    <w:rsid w:val="002613B3"/>
    <w:rsid w:val="00262B35"/>
    <w:rsid w:val="00264B77"/>
    <w:rsid w:val="00264FA2"/>
    <w:rsid w:val="00265786"/>
    <w:rsid w:val="002679BC"/>
    <w:rsid w:val="00271F71"/>
    <w:rsid w:val="0027239D"/>
    <w:rsid w:val="002737B2"/>
    <w:rsid w:val="00274308"/>
    <w:rsid w:val="002750F9"/>
    <w:rsid w:val="00275D44"/>
    <w:rsid w:val="002764B7"/>
    <w:rsid w:val="00276FF3"/>
    <w:rsid w:val="002803D6"/>
    <w:rsid w:val="00281824"/>
    <w:rsid w:val="002835C3"/>
    <w:rsid w:val="002841F2"/>
    <w:rsid w:val="00284F25"/>
    <w:rsid w:val="00286444"/>
    <w:rsid w:val="002902E1"/>
    <w:rsid w:val="002A4B3B"/>
    <w:rsid w:val="002A7A92"/>
    <w:rsid w:val="002B24BA"/>
    <w:rsid w:val="002B4774"/>
    <w:rsid w:val="002B6344"/>
    <w:rsid w:val="002C1D31"/>
    <w:rsid w:val="002C5C17"/>
    <w:rsid w:val="002C78F2"/>
    <w:rsid w:val="002D0C13"/>
    <w:rsid w:val="002D17FE"/>
    <w:rsid w:val="002D204B"/>
    <w:rsid w:val="002D52E3"/>
    <w:rsid w:val="002D5D57"/>
    <w:rsid w:val="002D7851"/>
    <w:rsid w:val="002D7FCB"/>
    <w:rsid w:val="002E142E"/>
    <w:rsid w:val="002E19A5"/>
    <w:rsid w:val="002E4D79"/>
    <w:rsid w:val="002E4EF1"/>
    <w:rsid w:val="002E5278"/>
    <w:rsid w:val="002E6624"/>
    <w:rsid w:val="002E7530"/>
    <w:rsid w:val="002F1153"/>
    <w:rsid w:val="002F3179"/>
    <w:rsid w:val="002F33E8"/>
    <w:rsid w:val="002F4D5C"/>
    <w:rsid w:val="002F4F00"/>
    <w:rsid w:val="002F67DE"/>
    <w:rsid w:val="00302E06"/>
    <w:rsid w:val="00304815"/>
    <w:rsid w:val="00306002"/>
    <w:rsid w:val="00307E94"/>
    <w:rsid w:val="003122B7"/>
    <w:rsid w:val="003206F0"/>
    <w:rsid w:val="0032149C"/>
    <w:rsid w:val="0032170F"/>
    <w:rsid w:val="00321923"/>
    <w:rsid w:val="00321E53"/>
    <w:rsid w:val="00322BD1"/>
    <w:rsid w:val="00323FDB"/>
    <w:rsid w:val="003263AB"/>
    <w:rsid w:val="0032720F"/>
    <w:rsid w:val="00327F32"/>
    <w:rsid w:val="003303C2"/>
    <w:rsid w:val="0033088C"/>
    <w:rsid w:val="00331A13"/>
    <w:rsid w:val="003415DA"/>
    <w:rsid w:val="003418BB"/>
    <w:rsid w:val="003418EF"/>
    <w:rsid w:val="00345346"/>
    <w:rsid w:val="00346503"/>
    <w:rsid w:val="00350A09"/>
    <w:rsid w:val="00351953"/>
    <w:rsid w:val="00352294"/>
    <w:rsid w:val="00353512"/>
    <w:rsid w:val="00353A5C"/>
    <w:rsid w:val="00354E6A"/>
    <w:rsid w:val="0035554C"/>
    <w:rsid w:val="00364719"/>
    <w:rsid w:val="00366217"/>
    <w:rsid w:val="00366637"/>
    <w:rsid w:val="00371859"/>
    <w:rsid w:val="00371B9F"/>
    <w:rsid w:val="003749B5"/>
    <w:rsid w:val="0037531A"/>
    <w:rsid w:val="003769F4"/>
    <w:rsid w:val="003804A6"/>
    <w:rsid w:val="00381559"/>
    <w:rsid w:val="0038177A"/>
    <w:rsid w:val="003852DA"/>
    <w:rsid w:val="00385CA7"/>
    <w:rsid w:val="0038671F"/>
    <w:rsid w:val="00387CD5"/>
    <w:rsid w:val="0039051D"/>
    <w:rsid w:val="00393126"/>
    <w:rsid w:val="003959AB"/>
    <w:rsid w:val="00397913"/>
    <w:rsid w:val="00397B95"/>
    <w:rsid w:val="003A6C41"/>
    <w:rsid w:val="003A7B7B"/>
    <w:rsid w:val="003B10C9"/>
    <w:rsid w:val="003B41F9"/>
    <w:rsid w:val="003B5268"/>
    <w:rsid w:val="003B5993"/>
    <w:rsid w:val="003B5BB2"/>
    <w:rsid w:val="003C104C"/>
    <w:rsid w:val="003C280B"/>
    <w:rsid w:val="003C5825"/>
    <w:rsid w:val="003C6D50"/>
    <w:rsid w:val="003D2EAD"/>
    <w:rsid w:val="003D36B0"/>
    <w:rsid w:val="003D5841"/>
    <w:rsid w:val="003D60CA"/>
    <w:rsid w:val="003D6863"/>
    <w:rsid w:val="003D7251"/>
    <w:rsid w:val="003E0933"/>
    <w:rsid w:val="003E0D62"/>
    <w:rsid w:val="003E1F1B"/>
    <w:rsid w:val="003E274A"/>
    <w:rsid w:val="003E3908"/>
    <w:rsid w:val="003F11A9"/>
    <w:rsid w:val="003F44AA"/>
    <w:rsid w:val="003F5CDB"/>
    <w:rsid w:val="003F6FF3"/>
    <w:rsid w:val="004008F7"/>
    <w:rsid w:val="00401505"/>
    <w:rsid w:val="00403599"/>
    <w:rsid w:val="00403E5D"/>
    <w:rsid w:val="00404FDB"/>
    <w:rsid w:val="0040601B"/>
    <w:rsid w:val="004136D7"/>
    <w:rsid w:val="004153C8"/>
    <w:rsid w:val="00416C69"/>
    <w:rsid w:val="00431F4F"/>
    <w:rsid w:val="004326C1"/>
    <w:rsid w:val="004328D6"/>
    <w:rsid w:val="004331C5"/>
    <w:rsid w:val="004343C6"/>
    <w:rsid w:val="00436C72"/>
    <w:rsid w:val="00440764"/>
    <w:rsid w:val="00443B74"/>
    <w:rsid w:val="00443E92"/>
    <w:rsid w:val="00445946"/>
    <w:rsid w:val="00446D69"/>
    <w:rsid w:val="00447C1A"/>
    <w:rsid w:val="00451F07"/>
    <w:rsid w:val="00462D1E"/>
    <w:rsid w:val="00462EFB"/>
    <w:rsid w:val="00462FB9"/>
    <w:rsid w:val="00464B13"/>
    <w:rsid w:val="00472FB5"/>
    <w:rsid w:val="004741A7"/>
    <w:rsid w:val="00474486"/>
    <w:rsid w:val="00475C13"/>
    <w:rsid w:val="004775CA"/>
    <w:rsid w:val="00480230"/>
    <w:rsid w:val="00480C9A"/>
    <w:rsid w:val="0048391A"/>
    <w:rsid w:val="00483F19"/>
    <w:rsid w:val="00487406"/>
    <w:rsid w:val="004911DD"/>
    <w:rsid w:val="0049144E"/>
    <w:rsid w:val="00492A98"/>
    <w:rsid w:val="00493451"/>
    <w:rsid w:val="004945F6"/>
    <w:rsid w:val="00494893"/>
    <w:rsid w:val="0049511B"/>
    <w:rsid w:val="004961B2"/>
    <w:rsid w:val="00497B8D"/>
    <w:rsid w:val="004A010F"/>
    <w:rsid w:val="004A08B4"/>
    <w:rsid w:val="004A4417"/>
    <w:rsid w:val="004A5A2B"/>
    <w:rsid w:val="004B082F"/>
    <w:rsid w:val="004B32C1"/>
    <w:rsid w:val="004B620E"/>
    <w:rsid w:val="004B695D"/>
    <w:rsid w:val="004B7AFF"/>
    <w:rsid w:val="004C038D"/>
    <w:rsid w:val="004C1543"/>
    <w:rsid w:val="004C33AE"/>
    <w:rsid w:val="004D1161"/>
    <w:rsid w:val="004D1709"/>
    <w:rsid w:val="004D183B"/>
    <w:rsid w:val="004D3EDB"/>
    <w:rsid w:val="004D4175"/>
    <w:rsid w:val="004D7D80"/>
    <w:rsid w:val="004E4251"/>
    <w:rsid w:val="004E4C98"/>
    <w:rsid w:val="004E7E7B"/>
    <w:rsid w:val="004F1534"/>
    <w:rsid w:val="004F4705"/>
    <w:rsid w:val="004F56BB"/>
    <w:rsid w:val="004F7D26"/>
    <w:rsid w:val="00501C52"/>
    <w:rsid w:val="00502AB1"/>
    <w:rsid w:val="00503240"/>
    <w:rsid w:val="00503997"/>
    <w:rsid w:val="0050405E"/>
    <w:rsid w:val="00504FBE"/>
    <w:rsid w:val="00507DFC"/>
    <w:rsid w:val="00511A29"/>
    <w:rsid w:val="00514CEF"/>
    <w:rsid w:val="00514F3E"/>
    <w:rsid w:val="0051761D"/>
    <w:rsid w:val="00517699"/>
    <w:rsid w:val="00520C0C"/>
    <w:rsid w:val="00522953"/>
    <w:rsid w:val="00522EDC"/>
    <w:rsid w:val="005239F3"/>
    <w:rsid w:val="0053098C"/>
    <w:rsid w:val="00531D77"/>
    <w:rsid w:val="005326D9"/>
    <w:rsid w:val="00532EDE"/>
    <w:rsid w:val="005330A9"/>
    <w:rsid w:val="00541DC5"/>
    <w:rsid w:val="00542F51"/>
    <w:rsid w:val="0054454B"/>
    <w:rsid w:val="00544BF2"/>
    <w:rsid w:val="00545576"/>
    <w:rsid w:val="00546976"/>
    <w:rsid w:val="005473E0"/>
    <w:rsid w:val="005477F5"/>
    <w:rsid w:val="00550F28"/>
    <w:rsid w:val="005515B1"/>
    <w:rsid w:val="00555F54"/>
    <w:rsid w:val="00557299"/>
    <w:rsid w:val="00557DD1"/>
    <w:rsid w:val="005628E8"/>
    <w:rsid w:val="00562CF2"/>
    <w:rsid w:val="00563134"/>
    <w:rsid w:val="0057180D"/>
    <w:rsid w:val="0057492B"/>
    <w:rsid w:val="005757D0"/>
    <w:rsid w:val="0058239F"/>
    <w:rsid w:val="005860E8"/>
    <w:rsid w:val="00587780"/>
    <w:rsid w:val="00587F4E"/>
    <w:rsid w:val="00590313"/>
    <w:rsid w:val="00591F4F"/>
    <w:rsid w:val="005926B6"/>
    <w:rsid w:val="00593006"/>
    <w:rsid w:val="0059302B"/>
    <w:rsid w:val="0059575F"/>
    <w:rsid w:val="0059666B"/>
    <w:rsid w:val="0059680D"/>
    <w:rsid w:val="005A4455"/>
    <w:rsid w:val="005A4B91"/>
    <w:rsid w:val="005A5A6D"/>
    <w:rsid w:val="005A63DE"/>
    <w:rsid w:val="005B0487"/>
    <w:rsid w:val="005B0A0C"/>
    <w:rsid w:val="005B3B72"/>
    <w:rsid w:val="005B4C3D"/>
    <w:rsid w:val="005B4DC6"/>
    <w:rsid w:val="005B5AD1"/>
    <w:rsid w:val="005C05D5"/>
    <w:rsid w:val="005C2B0A"/>
    <w:rsid w:val="005C3641"/>
    <w:rsid w:val="005C61AB"/>
    <w:rsid w:val="005C72D3"/>
    <w:rsid w:val="005D6184"/>
    <w:rsid w:val="005D6B35"/>
    <w:rsid w:val="005D776D"/>
    <w:rsid w:val="005E1AA5"/>
    <w:rsid w:val="005E37A0"/>
    <w:rsid w:val="005E58D8"/>
    <w:rsid w:val="005E596F"/>
    <w:rsid w:val="005F011E"/>
    <w:rsid w:val="005F013D"/>
    <w:rsid w:val="005F384F"/>
    <w:rsid w:val="005F4A2C"/>
    <w:rsid w:val="005F6B44"/>
    <w:rsid w:val="0061077F"/>
    <w:rsid w:val="00610BB2"/>
    <w:rsid w:val="00611204"/>
    <w:rsid w:val="006124FA"/>
    <w:rsid w:val="00615315"/>
    <w:rsid w:val="00615EC6"/>
    <w:rsid w:val="00616C0E"/>
    <w:rsid w:val="00617D3B"/>
    <w:rsid w:val="006205C9"/>
    <w:rsid w:val="00621F52"/>
    <w:rsid w:val="00622ABF"/>
    <w:rsid w:val="006242C9"/>
    <w:rsid w:val="006250C2"/>
    <w:rsid w:val="006279E3"/>
    <w:rsid w:val="00627A4D"/>
    <w:rsid w:val="00627DB4"/>
    <w:rsid w:val="0063151F"/>
    <w:rsid w:val="00632CCE"/>
    <w:rsid w:val="00635E3A"/>
    <w:rsid w:val="00636C91"/>
    <w:rsid w:val="00641EA7"/>
    <w:rsid w:val="00642CBF"/>
    <w:rsid w:val="0064678D"/>
    <w:rsid w:val="0065041D"/>
    <w:rsid w:val="00652304"/>
    <w:rsid w:val="006539C1"/>
    <w:rsid w:val="006565B2"/>
    <w:rsid w:val="006571A7"/>
    <w:rsid w:val="00657C00"/>
    <w:rsid w:val="00661211"/>
    <w:rsid w:val="006630D2"/>
    <w:rsid w:val="00665279"/>
    <w:rsid w:val="00666CC9"/>
    <w:rsid w:val="00670B8E"/>
    <w:rsid w:val="006721F3"/>
    <w:rsid w:val="006734B4"/>
    <w:rsid w:val="00674C57"/>
    <w:rsid w:val="00674E04"/>
    <w:rsid w:val="00675F8A"/>
    <w:rsid w:val="0068055E"/>
    <w:rsid w:val="00681282"/>
    <w:rsid w:val="00683679"/>
    <w:rsid w:val="006845A0"/>
    <w:rsid w:val="00685E68"/>
    <w:rsid w:val="00686747"/>
    <w:rsid w:val="006869F8"/>
    <w:rsid w:val="006918E8"/>
    <w:rsid w:val="00692E67"/>
    <w:rsid w:val="00692FAE"/>
    <w:rsid w:val="00693008"/>
    <w:rsid w:val="006937F8"/>
    <w:rsid w:val="006945ED"/>
    <w:rsid w:val="006A05D4"/>
    <w:rsid w:val="006A1688"/>
    <w:rsid w:val="006A35F2"/>
    <w:rsid w:val="006A4458"/>
    <w:rsid w:val="006A61D0"/>
    <w:rsid w:val="006B1B85"/>
    <w:rsid w:val="006B2BB2"/>
    <w:rsid w:val="006B43DA"/>
    <w:rsid w:val="006B4569"/>
    <w:rsid w:val="006B4B96"/>
    <w:rsid w:val="006B5C15"/>
    <w:rsid w:val="006B6298"/>
    <w:rsid w:val="006B6586"/>
    <w:rsid w:val="006B6758"/>
    <w:rsid w:val="006C044F"/>
    <w:rsid w:val="006C1262"/>
    <w:rsid w:val="006C1498"/>
    <w:rsid w:val="006C53C9"/>
    <w:rsid w:val="006C71C1"/>
    <w:rsid w:val="006C7590"/>
    <w:rsid w:val="006D0FAF"/>
    <w:rsid w:val="006D328C"/>
    <w:rsid w:val="006D7B93"/>
    <w:rsid w:val="006E1C55"/>
    <w:rsid w:val="006E1F70"/>
    <w:rsid w:val="006E5674"/>
    <w:rsid w:val="006F116E"/>
    <w:rsid w:val="006F4E97"/>
    <w:rsid w:val="006F5A23"/>
    <w:rsid w:val="006F5C4E"/>
    <w:rsid w:val="006F6DFA"/>
    <w:rsid w:val="007000C5"/>
    <w:rsid w:val="007019BE"/>
    <w:rsid w:val="007039DC"/>
    <w:rsid w:val="00703FA0"/>
    <w:rsid w:val="0070479B"/>
    <w:rsid w:val="00706020"/>
    <w:rsid w:val="007066BC"/>
    <w:rsid w:val="007070CE"/>
    <w:rsid w:val="00712895"/>
    <w:rsid w:val="00712CCA"/>
    <w:rsid w:val="00712D5D"/>
    <w:rsid w:val="00713DCF"/>
    <w:rsid w:val="007166B7"/>
    <w:rsid w:val="00721359"/>
    <w:rsid w:val="007228D2"/>
    <w:rsid w:val="0072307E"/>
    <w:rsid w:val="0072391C"/>
    <w:rsid w:val="007244B6"/>
    <w:rsid w:val="00727078"/>
    <w:rsid w:val="007277DD"/>
    <w:rsid w:val="00731B32"/>
    <w:rsid w:val="00732C13"/>
    <w:rsid w:val="007352DB"/>
    <w:rsid w:val="0073688D"/>
    <w:rsid w:val="00737CDF"/>
    <w:rsid w:val="00740E23"/>
    <w:rsid w:val="00742BF0"/>
    <w:rsid w:val="00744F31"/>
    <w:rsid w:val="007459D5"/>
    <w:rsid w:val="007468B0"/>
    <w:rsid w:val="0075129C"/>
    <w:rsid w:val="007523D9"/>
    <w:rsid w:val="00752B02"/>
    <w:rsid w:val="00752F45"/>
    <w:rsid w:val="00752FD8"/>
    <w:rsid w:val="00757AE8"/>
    <w:rsid w:val="00760193"/>
    <w:rsid w:val="00760E2F"/>
    <w:rsid w:val="00762BA4"/>
    <w:rsid w:val="007665D7"/>
    <w:rsid w:val="007722DD"/>
    <w:rsid w:val="00776620"/>
    <w:rsid w:val="007838ED"/>
    <w:rsid w:val="00784ADC"/>
    <w:rsid w:val="007853A7"/>
    <w:rsid w:val="00785EA3"/>
    <w:rsid w:val="00786A02"/>
    <w:rsid w:val="007870CB"/>
    <w:rsid w:val="00790EAB"/>
    <w:rsid w:val="007911FE"/>
    <w:rsid w:val="00791BCE"/>
    <w:rsid w:val="007927C5"/>
    <w:rsid w:val="00792F3B"/>
    <w:rsid w:val="00792F5D"/>
    <w:rsid w:val="00793197"/>
    <w:rsid w:val="00793763"/>
    <w:rsid w:val="00795713"/>
    <w:rsid w:val="007A031A"/>
    <w:rsid w:val="007A0C27"/>
    <w:rsid w:val="007A1559"/>
    <w:rsid w:val="007A4B9A"/>
    <w:rsid w:val="007A4E9E"/>
    <w:rsid w:val="007A54D9"/>
    <w:rsid w:val="007A54F7"/>
    <w:rsid w:val="007A7E0C"/>
    <w:rsid w:val="007B2521"/>
    <w:rsid w:val="007B3353"/>
    <w:rsid w:val="007B55A1"/>
    <w:rsid w:val="007C057E"/>
    <w:rsid w:val="007C3CAB"/>
    <w:rsid w:val="007C7511"/>
    <w:rsid w:val="007D0B81"/>
    <w:rsid w:val="007D138C"/>
    <w:rsid w:val="007D4F68"/>
    <w:rsid w:val="007D629B"/>
    <w:rsid w:val="007D7E07"/>
    <w:rsid w:val="007E08BC"/>
    <w:rsid w:val="007E291F"/>
    <w:rsid w:val="007E29A8"/>
    <w:rsid w:val="007E3662"/>
    <w:rsid w:val="007E6092"/>
    <w:rsid w:val="007E6993"/>
    <w:rsid w:val="007F0A35"/>
    <w:rsid w:val="007F15BA"/>
    <w:rsid w:val="007F5252"/>
    <w:rsid w:val="007F60A2"/>
    <w:rsid w:val="007F7A7C"/>
    <w:rsid w:val="007F7AAC"/>
    <w:rsid w:val="00802E22"/>
    <w:rsid w:val="00810A3E"/>
    <w:rsid w:val="00812819"/>
    <w:rsid w:val="008132D1"/>
    <w:rsid w:val="00814969"/>
    <w:rsid w:val="008157EB"/>
    <w:rsid w:val="00816C2D"/>
    <w:rsid w:val="0082177D"/>
    <w:rsid w:val="0082286A"/>
    <w:rsid w:val="00825118"/>
    <w:rsid w:val="008307F4"/>
    <w:rsid w:val="00830F17"/>
    <w:rsid w:val="00834564"/>
    <w:rsid w:val="0083497A"/>
    <w:rsid w:val="00834CDD"/>
    <w:rsid w:val="00840326"/>
    <w:rsid w:val="00843ABC"/>
    <w:rsid w:val="00844EB5"/>
    <w:rsid w:val="00852AF2"/>
    <w:rsid w:val="00853E28"/>
    <w:rsid w:val="00854EE9"/>
    <w:rsid w:val="00856B59"/>
    <w:rsid w:val="0085714E"/>
    <w:rsid w:val="0086318C"/>
    <w:rsid w:val="0086364D"/>
    <w:rsid w:val="0086371B"/>
    <w:rsid w:val="00863AAD"/>
    <w:rsid w:val="00863BE0"/>
    <w:rsid w:val="00863C97"/>
    <w:rsid w:val="00864070"/>
    <w:rsid w:val="00864D6E"/>
    <w:rsid w:val="008659B2"/>
    <w:rsid w:val="00870426"/>
    <w:rsid w:val="00870941"/>
    <w:rsid w:val="008733D1"/>
    <w:rsid w:val="00873EA7"/>
    <w:rsid w:val="00874B06"/>
    <w:rsid w:val="00876399"/>
    <w:rsid w:val="00876DCD"/>
    <w:rsid w:val="00877AD5"/>
    <w:rsid w:val="00881121"/>
    <w:rsid w:val="00881D69"/>
    <w:rsid w:val="008822BA"/>
    <w:rsid w:val="00882B1B"/>
    <w:rsid w:val="008853EE"/>
    <w:rsid w:val="00886088"/>
    <w:rsid w:val="008866D5"/>
    <w:rsid w:val="008875D4"/>
    <w:rsid w:val="0089115B"/>
    <w:rsid w:val="00891D8C"/>
    <w:rsid w:val="00893974"/>
    <w:rsid w:val="008967DB"/>
    <w:rsid w:val="008A3F33"/>
    <w:rsid w:val="008A614C"/>
    <w:rsid w:val="008B277F"/>
    <w:rsid w:val="008B2B96"/>
    <w:rsid w:val="008B69FC"/>
    <w:rsid w:val="008B6B7E"/>
    <w:rsid w:val="008C1853"/>
    <w:rsid w:val="008C1B53"/>
    <w:rsid w:val="008C3DA3"/>
    <w:rsid w:val="008C3ECE"/>
    <w:rsid w:val="008C4A44"/>
    <w:rsid w:val="008C76D7"/>
    <w:rsid w:val="008D2909"/>
    <w:rsid w:val="008D767B"/>
    <w:rsid w:val="008D77B9"/>
    <w:rsid w:val="008E0FC2"/>
    <w:rsid w:val="008E2F64"/>
    <w:rsid w:val="008E3C56"/>
    <w:rsid w:val="008E4EE2"/>
    <w:rsid w:val="008F1D39"/>
    <w:rsid w:val="008F37CA"/>
    <w:rsid w:val="008F5F19"/>
    <w:rsid w:val="008F77CF"/>
    <w:rsid w:val="00900A1E"/>
    <w:rsid w:val="0090107D"/>
    <w:rsid w:val="0090393D"/>
    <w:rsid w:val="0090472A"/>
    <w:rsid w:val="00904DA1"/>
    <w:rsid w:val="009069FF"/>
    <w:rsid w:val="00910A04"/>
    <w:rsid w:val="00910AEC"/>
    <w:rsid w:val="009122BB"/>
    <w:rsid w:val="00915A4C"/>
    <w:rsid w:val="0091620A"/>
    <w:rsid w:val="009205D0"/>
    <w:rsid w:val="009208BA"/>
    <w:rsid w:val="00921333"/>
    <w:rsid w:val="00922042"/>
    <w:rsid w:val="00923E20"/>
    <w:rsid w:val="0092472B"/>
    <w:rsid w:val="009250DF"/>
    <w:rsid w:val="00926E66"/>
    <w:rsid w:val="0092796C"/>
    <w:rsid w:val="00927C9D"/>
    <w:rsid w:val="009303CC"/>
    <w:rsid w:val="009316AF"/>
    <w:rsid w:val="00931EE6"/>
    <w:rsid w:val="009322EE"/>
    <w:rsid w:val="0093284F"/>
    <w:rsid w:val="00933246"/>
    <w:rsid w:val="00935669"/>
    <w:rsid w:val="009363D9"/>
    <w:rsid w:val="00945C6E"/>
    <w:rsid w:val="009467EB"/>
    <w:rsid w:val="00950512"/>
    <w:rsid w:val="00951594"/>
    <w:rsid w:val="00951FEB"/>
    <w:rsid w:val="00955143"/>
    <w:rsid w:val="00957A6B"/>
    <w:rsid w:val="00962CC4"/>
    <w:rsid w:val="00963838"/>
    <w:rsid w:val="00967F19"/>
    <w:rsid w:val="00967FF4"/>
    <w:rsid w:val="00974352"/>
    <w:rsid w:val="00975C6B"/>
    <w:rsid w:val="00976ED5"/>
    <w:rsid w:val="00977735"/>
    <w:rsid w:val="00980C7B"/>
    <w:rsid w:val="00982424"/>
    <w:rsid w:val="009828CB"/>
    <w:rsid w:val="00985AD5"/>
    <w:rsid w:val="0098608D"/>
    <w:rsid w:val="009946F6"/>
    <w:rsid w:val="009A02F8"/>
    <w:rsid w:val="009A23D9"/>
    <w:rsid w:val="009A4202"/>
    <w:rsid w:val="009A5E8C"/>
    <w:rsid w:val="009A743B"/>
    <w:rsid w:val="009B0089"/>
    <w:rsid w:val="009B08D0"/>
    <w:rsid w:val="009B1C11"/>
    <w:rsid w:val="009B3929"/>
    <w:rsid w:val="009B590B"/>
    <w:rsid w:val="009B5F9D"/>
    <w:rsid w:val="009B6F9E"/>
    <w:rsid w:val="009B7208"/>
    <w:rsid w:val="009C0D96"/>
    <w:rsid w:val="009C16AD"/>
    <w:rsid w:val="009C1E18"/>
    <w:rsid w:val="009C3ED3"/>
    <w:rsid w:val="009C53A3"/>
    <w:rsid w:val="009C5EB2"/>
    <w:rsid w:val="009C7B83"/>
    <w:rsid w:val="009D04A3"/>
    <w:rsid w:val="009D0C48"/>
    <w:rsid w:val="009D1A5A"/>
    <w:rsid w:val="009D5E63"/>
    <w:rsid w:val="009D6F92"/>
    <w:rsid w:val="009D7007"/>
    <w:rsid w:val="009E1A38"/>
    <w:rsid w:val="009E325A"/>
    <w:rsid w:val="009E37E8"/>
    <w:rsid w:val="009E68EE"/>
    <w:rsid w:val="009E7788"/>
    <w:rsid w:val="009F0EA3"/>
    <w:rsid w:val="009F0F7A"/>
    <w:rsid w:val="009F1A29"/>
    <w:rsid w:val="009F1B02"/>
    <w:rsid w:val="009F1D05"/>
    <w:rsid w:val="009F2443"/>
    <w:rsid w:val="009F5229"/>
    <w:rsid w:val="009F581D"/>
    <w:rsid w:val="009F5A29"/>
    <w:rsid w:val="009F6BBC"/>
    <w:rsid w:val="009F6C54"/>
    <w:rsid w:val="00A0036D"/>
    <w:rsid w:val="00A02A35"/>
    <w:rsid w:val="00A04411"/>
    <w:rsid w:val="00A0516F"/>
    <w:rsid w:val="00A061AB"/>
    <w:rsid w:val="00A06BA7"/>
    <w:rsid w:val="00A11969"/>
    <w:rsid w:val="00A137F5"/>
    <w:rsid w:val="00A13E44"/>
    <w:rsid w:val="00A141B9"/>
    <w:rsid w:val="00A1429C"/>
    <w:rsid w:val="00A158BE"/>
    <w:rsid w:val="00A163B3"/>
    <w:rsid w:val="00A20D65"/>
    <w:rsid w:val="00A21757"/>
    <w:rsid w:val="00A21C6C"/>
    <w:rsid w:val="00A2394E"/>
    <w:rsid w:val="00A23BB0"/>
    <w:rsid w:val="00A24504"/>
    <w:rsid w:val="00A24645"/>
    <w:rsid w:val="00A2675E"/>
    <w:rsid w:val="00A26AB1"/>
    <w:rsid w:val="00A274F8"/>
    <w:rsid w:val="00A30278"/>
    <w:rsid w:val="00A32D40"/>
    <w:rsid w:val="00A33063"/>
    <w:rsid w:val="00A34A06"/>
    <w:rsid w:val="00A3621A"/>
    <w:rsid w:val="00A431B0"/>
    <w:rsid w:val="00A43966"/>
    <w:rsid w:val="00A44D55"/>
    <w:rsid w:val="00A52370"/>
    <w:rsid w:val="00A527F6"/>
    <w:rsid w:val="00A54441"/>
    <w:rsid w:val="00A54DCB"/>
    <w:rsid w:val="00A55843"/>
    <w:rsid w:val="00A63A39"/>
    <w:rsid w:val="00A662C9"/>
    <w:rsid w:val="00A66305"/>
    <w:rsid w:val="00A67099"/>
    <w:rsid w:val="00A72872"/>
    <w:rsid w:val="00A7561B"/>
    <w:rsid w:val="00A768D3"/>
    <w:rsid w:val="00A76925"/>
    <w:rsid w:val="00A76BB9"/>
    <w:rsid w:val="00A80D60"/>
    <w:rsid w:val="00A8278B"/>
    <w:rsid w:val="00A85573"/>
    <w:rsid w:val="00A8776B"/>
    <w:rsid w:val="00A93B6C"/>
    <w:rsid w:val="00A94BA6"/>
    <w:rsid w:val="00AA1838"/>
    <w:rsid w:val="00AA379E"/>
    <w:rsid w:val="00AA4857"/>
    <w:rsid w:val="00AA5B76"/>
    <w:rsid w:val="00AB0F1D"/>
    <w:rsid w:val="00AB3410"/>
    <w:rsid w:val="00AB40F1"/>
    <w:rsid w:val="00AB44F2"/>
    <w:rsid w:val="00AB486B"/>
    <w:rsid w:val="00AB536C"/>
    <w:rsid w:val="00AC4FA0"/>
    <w:rsid w:val="00AC569E"/>
    <w:rsid w:val="00AC70A1"/>
    <w:rsid w:val="00AC7F75"/>
    <w:rsid w:val="00AD2F09"/>
    <w:rsid w:val="00AD3EFD"/>
    <w:rsid w:val="00AD49EE"/>
    <w:rsid w:val="00AD4FD2"/>
    <w:rsid w:val="00AD506A"/>
    <w:rsid w:val="00AD62BA"/>
    <w:rsid w:val="00AD6525"/>
    <w:rsid w:val="00AD7384"/>
    <w:rsid w:val="00AF5028"/>
    <w:rsid w:val="00AF796D"/>
    <w:rsid w:val="00B0030D"/>
    <w:rsid w:val="00B01EB5"/>
    <w:rsid w:val="00B02120"/>
    <w:rsid w:val="00B023B3"/>
    <w:rsid w:val="00B04332"/>
    <w:rsid w:val="00B0699B"/>
    <w:rsid w:val="00B07715"/>
    <w:rsid w:val="00B0788E"/>
    <w:rsid w:val="00B11EDD"/>
    <w:rsid w:val="00B1207E"/>
    <w:rsid w:val="00B128D7"/>
    <w:rsid w:val="00B15173"/>
    <w:rsid w:val="00B15F59"/>
    <w:rsid w:val="00B244FE"/>
    <w:rsid w:val="00B2469C"/>
    <w:rsid w:val="00B24A14"/>
    <w:rsid w:val="00B25F1D"/>
    <w:rsid w:val="00B263F9"/>
    <w:rsid w:val="00B32681"/>
    <w:rsid w:val="00B33066"/>
    <w:rsid w:val="00B33364"/>
    <w:rsid w:val="00B34554"/>
    <w:rsid w:val="00B36231"/>
    <w:rsid w:val="00B36B17"/>
    <w:rsid w:val="00B36F81"/>
    <w:rsid w:val="00B37E0F"/>
    <w:rsid w:val="00B407AE"/>
    <w:rsid w:val="00B4202E"/>
    <w:rsid w:val="00B4266C"/>
    <w:rsid w:val="00B4373D"/>
    <w:rsid w:val="00B45235"/>
    <w:rsid w:val="00B46DA1"/>
    <w:rsid w:val="00B4734E"/>
    <w:rsid w:val="00B500D6"/>
    <w:rsid w:val="00B52F16"/>
    <w:rsid w:val="00B53441"/>
    <w:rsid w:val="00B54469"/>
    <w:rsid w:val="00B544D5"/>
    <w:rsid w:val="00B60488"/>
    <w:rsid w:val="00B61123"/>
    <w:rsid w:val="00B61AEE"/>
    <w:rsid w:val="00B61D7A"/>
    <w:rsid w:val="00B62E58"/>
    <w:rsid w:val="00B6738A"/>
    <w:rsid w:val="00B67584"/>
    <w:rsid w:val="00B725A3"/>
    <w:rsid w:val="00B73751"/>
    <w:rsid w:val="00B739CC"/>
    <w:rsid w:val="00B75465"/>
    <w:rsid w:val="00B75CC4"/>
    <w:rsid w:val="00B761D8"/>
    <w:rsid w:val="00B77697"/>
    <w:rsid w:val="00B826DD"/>
    <w:rsid w:val="00B8339E"/>
    <w:rsid w:val="00B833D7"/>
    <w:rsid w:val="00B835C7"/>
    <w:rsid w:val="00B9019B"/>
    <w:rsid w:val="00B90FDC"/>
    <w:rsid w:val="00B92D6D"/>
    <w:rsid w:val="00B93AEE"/>
    <w:rsid w:val="00B9552E"/>
    <w:rsid w:val="00B968FD"/>
    <w:rsid w:val="00BA1136"/>
    <w:rsid w:val="00BA2163"/>
    <w:rsid w:val="00BA21AF"/>
    <w:rsid w:val="00BA228B"/>
    <w:rsid w:val="00BA6615"/>
    <w:rsid w:val="00BA6841"/>
    <w:rsid w:val="00BB0648"/>
    <w:rsid w:val="00BB0D51"/>
    <w:rsid w:val="00BB19F4"/>
    <w:rsid w:val="00BB22B8"/>
    <w:rsid w:val="00BB2539"/>
    <w:rsid w:val="00BB2607"/>
    <w:rsid w:val="00BB500A"/>
    <w:rsid w:val="00BB6735"/>
    <w:rsid w:val="00BC0337"/>
    <w:rsid w:val="00BC0FB9"/>
    <w:rsid w:val="00BC2E82"/>
    <w:rsid w:val="00BC53FC"/>
    <w:rsid w:val="00BC632D"/>
    <w:rsid w:val="00BC7C13"/>
    <w:rsid w:val="00BC7D5E"/>
    <w:rsid w:val="00BD2F22"/>
    <w:rsid w:val="00BD40E9"/>
    <w:rsid w:val="00BD5183"/>
    <w:rsid w:val="00BD6EC7"/>
    <w:rsid w:val="00BE0116"/>
    <w:rsid w:val="00BE0B22"/>
    <w:rsid w:val="00BE3BB0"/>
    <w:rsid w:val="00BE64CD"/>
    <w:rsid w:val="00BE75B7"/>
    <w:rsid w:val="00BE7BA2"/>
    <w:rsid w:val="00BF24A4"/>
    <w:rsid w:val="00BF40DF"/>
    <w:rsid w:val="00BF47CE"/>
    <w:rsid w:val="00BF4A58"/>
    <w:rsid w:val="00BF6006"/>
    <w:rsid w:val="00BF7DCB"/>
    <w:rsid w:val="00C001CB"/>
    <w:rsid w:val="00C00890"/>
    <w:rsid w:val="00C0385C"/>
    <w:rsid w:val="00C06B6E"/>
    <w:rsid w:val="00C073E7"/>
    <w:rsid w:val="00C074AA"/>
    <w:rsid w:val="00C104C9"/>
    <w:rsid w:val="00C1121F"/>
    <w:rsid w:val="00C112FC"/>
    <w:rsid w:val="00C12447"/>
    <w:rsid w:val="00C15E87"/>
    <w:rsid w:val="00C16FFD"/>
    <w:rsid w:val="00C1763D"/>
    <w:rsid w:val="00C211D0"/>
    <w:rsid w:val="00C22A16"/>
    <w:rsid w:val="00C2423E"/>
    <w:rsid w:val="00C27709"/>
    <w:rsid w:val="00C31B33"/>
    <w:rsid w:val="00C35DCC"/>
    <w:rsid w:val="00C36402"/>
    <w:rsid w:val="00C36A96"/>
    <w:rsid w:val="00C444CD"/>
    <w:rsid w:val="00C45C22"/>
    <w:rsid w:val="00C500EA"/>
    <w:rsid w:val="00C50D5B"/>
    <w:rsid w:val="00C521D0"/>
    <w:rsid w:val="00C524E9"/>
    <w:rsid w:val="00C547E6"/>
    <w:rsid w:val="00C54A14"/>
    <w:rsid w:val="00C57226"/>
    <w:rsid w:val="00C6395A"/>
    <w:rsid w:val="00C661E3"/>
    <w:rsid w:val="00C6652D"/>
    <w:rsid w:val="00C74718"/>
    <w:rsid w:val="00C756D5"/>
    <w:rsid w:val="00C7589D"/>
    <w:rsid w:val="00C81766"/>
    <w:rsid w:val="00C81F7F"/>
    <w:rsid w:val="00C84649"/>
    <w:rsid w:val="00C856C1"/>
    <w:rsid w:val="00C85EE0"/>
    <w:rsid w:val="00C91D55"/>
    <w:rsid w:val="00CA08BC"/>
    <w:rsid w:val="00CA269C"/>
    <w:rsid w:val="00CA300E"/>
    <w:rsid w:val="00CA3230"/>
    <w:rsid w:val="00CA3A7D"/>
    <w:rsid w:val="00CA3E51"/>
    <w:rsid w:val="00CA3FBA"/>
    <w:rsid w:val="00CA4C32"/>
    <w:rsid w:val="00CB0163"/>
    <w:rsid w:val="00CB1F71"/>
    <w:rsid w:val="00CB23D7"/>
    <w:rsid w:val="00CB2710"/>
    <w:rsid w:val="00CB458C"/>
    <w:rsid w:val="00CB47E6"/>
    <w:rsid w:val="00CC1737"/>
    <w:rsid w:val="00CC2443"/>
    <w:rsid w:val="00CC4B54"/>
    <w:rsid w:val="00CC6428"/>
    <w:rsid w:val="00CD1934"/>
    <w:rsid w:val="00CD19FE"/>
    <w:rsid w:val="00CD3072"/>
    <w:rsid w:val="00CD43D8"/>
    <w:rsid w:val="00CE04F0"/>
    <w:rsid w:val="00CE057B"/>
    <w:rsid w:val="00CE153A"/>
    <w:rsid w:val="00CE6BDE"/>
    <w:rsid w:val="00CE7046"/>
    <w:rsid w:val="00CE771B"/>
    <w:rsid w:val="00CE7FB2"/>
    <w:rsid w:val="00CF02DC"/>
    <w:rsid w:val="00CF06AB"/>
    <w:rsid w:val="00CF1748"/>
    <w:rsid w:val="00CF1867"/>
    <w:rsid w:val="00CF19F5"/>
    <w:rsid w:val="00CF1D68"/>
    <w:rsid w:val="00CF325E"/>
    <w:rsid w:val="00CF5964"/>
    <w:rsid w:val="00CF68DA"/>
    <w:rsid w:val="00D01C02"/>
    <w:rsid w:val="00D04299"/>
    <w:rsid w:val="00D042DE"/>
    <w:rsid w:val="00D04D44"/>
    <w:rsid w:val="00D05437"/>
    <w:rsid w:val="00D0661A"/>
    <w:rsid w:val="00D1031A"/>
    <w:rsid w:val="00D10D89"/>
    <w:rsid w:val="00D11B96"/>
    <w:rsid w:val="00D125D2"/>
    <w:rsid w:val="00D13009"/>
    <w:rsid w:val="00D154EF"/>
    <w:rsid w:val="00D25FF6"/>
    <w:rsid w:val="00D26482"/>
    <w:rsid w:val="00D26B40"/>
    <w:rsid w:val="00D30BFA"/>
    <w:rsid w:val="00D30F96"/>
    <w:rsid w:val="00D31B69"/>
    <w:rsid w:val="00D31F7C"/>
    <w:rsid w:val="00D325E2"/>
    <w:rsid w:val="00D3261E"/>
    <w:rsid w:val="00D34314"/>
    <w:rsid w:val="00D363E6"/>
    <w:rsid w:val="00D36ECF"/>
    <w:rsid w:val="00D373A2"/>
    <w:rsid w:val="00D413DE"/>
    <w:rsid w:val="00D4194F"/>
    <w:rsid w:val="00D42165"/>
    <w:rsid w:val="00D42878"/>
    <w:rsid w:val="00D4490B"/>
    <w:rsid w:val="00D44F0C"/>
    <w:rsid w:val="00D4597A"/>
    <w:rsid w:val="00D45BD7"/>
    <w:rsid w:val="00D46C5A"/>
    <w:rsid w:val="00D50424"/>
    <w:rsid w:val="00D50702"/>
    <w:rsid w:val="00D532AA"/>
    <w:rsid w:val="00D547DC"/>
    <w:rsid w:val="00D56236"/>
    <w:rsid w:val="00D567C4"/>
    <w:rsid w:val="00D56CC3"/>
    <w:rsid w:val="00D629ED"/>
    <w:rsid w:val="00D6398C"/>
    <w:rsid w:val="00D65130"/>
    <w:rsid w:val="00D669BD"/>
    <w:rsid w:val="00D67346"/>
    <w:rsid w:val="00D70184"/>
    <w:rsid w:val="00D70AA0"/>
    <w:rsid w:val="00D734CF"/>
    <w:rsid w:val="00D74912"/>
    <w:rsid w:val="00D74C1D"/>
    <w:rsid w:val="00D759F8"/>
    <w:rsid w:val="00D75D83"/>
    <w:rsid w:val="00D769F1"/>
    <w:rsid w:val="00D777C0"/>
    <w:rsid w:val="00D8100A"/>
    <w:rsid w:val="00D81D3F"/>
    <w:rsid w:val="00D85E83"/>
    <w:rsid w:val="00D93699"/>
    <w:rsid w:val="00D93FBC"/>
    <w:rsid w:val="00D9610B"/>
    <w:rsid w:val="00DA0563"/>
    <w:rsid w:val="00DA0DCF"/>
    <w:rsid w:val="00DA4376"/>
    <w:rsid w:val="00DA4DAD"/>
    <w:rsid w:val="00DA5A8C"/>
    <w:rsid w:val="00DA701B"/>
    <w:rsid w:val="00DA7197"/>
    <w:rsid w:val="00DB0D1F"/>
    <w:rsid w:val="00DC2167"/>
    <w:rsid w:val="00DC3F50"/>
    <w:rsid w:val="00DC49CA"/>
    <w:rsid w:val="00DC56F6"/>
    <w:rsid w:val="00DC58EE"/>
    <w:rsid w:val="00DD0F2C"/>
    <w:rsid w:val="00DD16E0"/>
    <w:rsid w:val="00DD18D8"/>
    <w:rsid w:val="00DD2222"/>
    <w:rsid w:val="00DD43BF"/>
    <w:rsid w:val="00DD5E43"/>
    <w:rsid w:val="00DD62EC"/>
    <w:rsid w:val="00DD72AF"/>
    <w:rsid w:val="00DE0351"/>
    <w:rsid w:val="00DE1274"/>
    <w:rsid w:val="00DE1B07"/>
    <w:rsid w:val="00DE1DD3"/>
    <w:rsid w:val="00DE4C78"/>
    <w:rsid w:val="00DE4F09"/>
    <w:rsid w:val="00DE6008"/>
    <w:rsid w:val="00DE68BB"/>
    <w:rsid w:val="00DE7B67"/>
    <w:rsid w:val="00DE7ECA"/>
    <w:rsid w:val="00DF04F8"/>
    <w:rsid w:val="00DF28C3"/>
    <w:rsid w:val="00DF667F"/>
    <w:rsid w:val="00E047C3"/>
    <w:rsid w:val="00E06DF5"/>
    <w:rsid w:val="00E0780B"/>
    <w:rsid w:val="00E13D1D"/>
    <w:rsid w:val="00E20FEE"/>
    <w:rsid w:val="00E21806"/>
    <w:rsid w:val="00E2287C"/>
    <w:rsid w:val="00E23C0F"/>
    <w:rsid w:val="00E23F77"/>
    <w:rsid w:val="00E24713"/>
    <w:rsid w:val="00E26125"/>
    <w:rsid w:val="00E261E3"/>
    <w:rsid w:val="00E2641D"/>
    <w:rsid w:val="00E337CB"/>
    <w:rsid w:val="00E33855"/>
    <w:rsid w:val="00E338F1"/>
    <w:rsid w:val="00E33E5D"/>
    <w:rsid w:val="00E340AD"/>
    <w:rsid w:val="00E34C76"/>
    <w:rsid w:val="00E4014D"/>
    <w:rsid w:val="00E444EE"/>
    <w:rsid w:val="00E45A5A"/>
    <w:rsid w:val="00E460F2"/>
    <w:rsid w:val="00E47A37"/>
    <w:rsid w:val="00E50E62"/>
    <w:rsid w:val="00E51EA3"/>
    <w:rsid w:val="00E53994"/>
    <w:rsid w:val="00E53EFF"/>
    <w:rsid w:val="00E55458"/>
    <w:rsid w:val="00E55D7C"/>
    <w:rsid w:val="00E57503"/>
    <w:rsid w:val="00E57858"/>
    <w:rsid w:val="00E57B92"/>
    <w:rsid w:val="00E61091"/>
    <w:rsid w:val="00E615C9"/>
    <w:rsid w:val="00E61EDB"/>
    <w:rsid w:val="00E6260C"/>
    <w:rsid w:val="00E718A7"/>
    <w:rsid w:val="00E726C2"/>
    <w:rsid w:val="00E72E86"/>
    <w:rsid w:val="00E72E93"/>
    <w:rsid w:val="00E7305D"/>
    <w:rsid w:val="00E730C9"/>
    <w:rsid w:val="00E7544A"/>
    <w:rsid w:val="00E8506D"/>
    <w:rsid w:val="00E85859"/>
    <w:rsid w:val="00E860B0"/>
    <w:rsid w:val="00E908AD"/>
    <w:rsid w:val="00E93470"/>
    <w:rsid w:val="00E93B42"/>
    <w:rsid w:val="00E941E4"/>
    <w:rsid w:val="00E96BCE"/>
    <w:rsid w:val="00EA052E"/>
    <w:rsid w:val="00EA0FB8"/>
    <w:rsid w:val="00EA4619"/>
    <w:rsid w:val="00EA4BE8"/>
    <w:rsid w:val="00EA4DFB"/>
    <w:rsid w:val="00EA53DD"/>
    <w:rsid w:val="00EA560F"/>
    <w:rsid w:val="00EA5BD0"/>
    <w:rsid w:val="00EA5D12"/>
    <w:rsid w:val="00EB0F08"/>
    <w:rsid w:val="00EB179A"/>
    <w:rsid w:val="00EB2AE0"/>
    <w:rsid w:val="00EB5153"/>
    <w:rsid w:val="00EB6193"/>
    <w:rsid w:val="00EB72D1"/>
    <w:rsid w:val="00EC0005"/>
    <w:rsid w:val="00EC3140"/>
    <w:rsid w:val="00EC36B8"/>
    <w:rsid w:val="00EC4CA9"/>
    <w:rsid w:val="00EC73CF"/>
    <w:rsid w:val="00EC79EE"/>
    <w:rsid w:val="00ED00BD"/>
    <w:rsid w:val="00ED31FD"/>
    <w:rsid w:val="00ED35F7"/>
    <w:rsid w:val="00ED5019"/>
    <w:rsid w:val="00EE0B44"/>
    <w:rsid w:val="00EE2D8E"/>
    <w:rsid w:val="00EE546E"/>
    <w:rsid w:val="00EE5E5F"/>
    <w:rsid w:val="00EF026F"/>
    <w:rsid w:val="00EF19EE"/>
    <w:rsid w:val="00EF2139"/>
    <w:rsid w:val="00EF21DA"/>
    <w:rsid w:val="00EF3448"/>
    <w:rsid w:val="00EF4083"/>
    <w:rsid w:val="00EF4324"/>
    <w:rsid w:val="00EF5A8D"/>
    <w:rsid w:val="00EF634A"/>
    <w:rsid w:val="00EF6903"/>
    <w:rsid w:val="00F002C7"/>
    <w:rsid w:val="00F00781"/>
    <w:rsid w:val="00F05A18"/>
    <w:rsid w:val="00F06154"/>
    <w:rsid w:val="00F0690F"/>
    <w:rsid w:val="00F07E42"/>
    <w:rsid w:val="00F10668"/>
    <w:rsid w:val="00F11150"/>
    <w:rsid w:val="00F12C8F"/>
    <w:rsid w:val="00F149C2"/>
    <w:rsid w:val="00F155E0"/>
    <w:rsid w:val="00F17720"/>
    <w:rsid w:val="00F2028C"/>
    <w:rsid w:val="00F2293A"/>
    <w:rsid w:val="00F22EB5"/>
    <w:rsid w:val="00F255AE"/>
    <w:rsid w:val="00F27F80"/>
    <w:rsid w:val="00F30B31"/>
    <w:rsid w:val="00F31115"/>
    <w:rsid w:val="00F315C4"/>
    <w:rsid w:val="00F33205"/>
    <w:rsid w:val="00F344BB"/>
    <w:rsid w:val="00F347D7"/>
    <w:rsid w:val="00F35A83"/>
    <w:rsid w:val="00F35DFC"/>
    <w:rsid w:val="00F37EA9"/>
    <w:rsid w:val="00F429B2"/>
    <w:rsid w:val="00F4374C"/>
    <w:rsid w:val="00F43F4E"/>
    <w:rsid w:val="00F46056"/>
    <w:rsid w:val="00F50BC4"/>
    <w:rsid w:val="00F51AE6"/>
    <w:rsid w:val="00F527D3"/>
    <w:rsid w:val="00F52D7D"/>
    <w:rsid w:val="00F52ED3"/>
    <w:rsid w:val="00F5469B"/>
    <w:rsid w:val="00F56461"/>
    <w:rsid w:val="00F56F4F"/>
    <w:rsid w:val="00F63757"/>
    <w:rsid w:val="00F6710B"/>
    <w:rsid w:val="00F70565"/>
    <w:rsid w:val="00F71550"/>
    <w:rsid w:val="00F72083"/>
    <w:rsid w:val="00F725EF"/>
    <w:rsid w:val="00F76353"/>
    <w:rsid w:val="00F76EEA"/>
    <w:rsid w:val="00F80F2F"/>
    <w:rsid w:val="00F8292E"/>
    <w:rsid w:val="00F842F2"/>
    <w:rsid w:val="00F859A9"/>
    <w:rsid w:val="00F85C3E"/>
    <w:rsid w:val="00F861A1"/>
    <w:rsid w:val="00F92ECA"/>
    <w:rsid w:val="00F931ED"/>
    <w:rsid w:val="00F93AEB"/>
    <w:rsid w:val="00F93AF5"/>
    <w:rsid w:val="00F94471"/>
    <w:rsid w:val="00F94BC4"/>
    <w:rsid w:val="00F978E4"/>
    <w:rsid w:val="00FA184E"/>
    <w:rsid w:val="00FA2562"/>
    <w:rsid w:val="00FA3F04"/>
    <w:rsid w:val="00FA400C"/>
    <w:rsid w:val="00FB3B47"/>
    <w:rsid w:val="00FB58A3"/>
    <w:rsid w:val="00FB75D4"/>
    <w:rsid w:val="00FB7CE3"/>
    <w:rsid w:val="00FC1433"/>
    <w:rsid w:val="00FC1F00"/>
    <w:rsid w:val="00FC4C40"/>
    <w:rsid w:val="00FC7D84"/>
    <w:rsid w:val="00FD23FB"/>
    <w:rsid w:val="00FD3D72"/>
    <w:rsid w:val="00FD5BFA"/>
    <w:rsid w:val="00FD6142"/>
    <w:rsid w:val="00FD79BB"/>
    <w:rsid w:val="00FE2AFE"/>
    <w:rsid w:val="00FE4990"/>
    <w:rsid w:val="00FE67CE"/>
    <w:rsid w:val="00FF0EA0"/>
    <w:rsid w:val="00FF166E"/>
    <w:rsid w:val="00FF4C63"/>
    <w:rsid w:val="00FF5966"/>
    <w:rsid w:val="00F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32B74"/>
  <w15:chartTrackingRefBased/>
  <w15:docId w15:val="{98DA7632-FC70-49DD-A65C-C1155938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61"/>
    <w:pPr>
      <w:spacing w:after="200" w:line="276" w:lineRule="auto"/>
    </w:pPr>
    <w:rPr>
      <w:sz w:val="22"/>
      <w:szCs w:val="22"/>
      <w:lang w:val="hr-HR" w:eastAsia="en-US"/>
    </w:rPr>
  </w:style>
  <w:style w:type="paragraph" w:styleId="1">
    <w:name w:val="heading 1"/>
    <w:basedOn w:val="a"/>
    <w:next w:val="a"/>
    <w:link w:val="10"/>
    <w:uiPriority w:val="9"/>
    <w:qFormat/>
    <w:rsid w:val="00A6709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FC"/>
    <w:pPr>
      <w:ind w:left="720"/>
      <w:contextualSpacing/>
    </w:pPr>
  </w:style>
  <w:style w:type="paragraph" w:styleId="a4">
    <w:name w:val="Body Text"/>
    <w:basedOn w:val="a"/>
    <w:link w:val="a5"/>
    <w:rsid w:val="00A21757"/>
    <w:pPr>
      <w:spacing w:after="0" w:line="360" w:lineRule="auto"/>
      <w:jc w:val="both"/>
    </w:pPr>
    <w:rPr>
      <w:rFonts w:ascii="Book Antiqua" w:eastAsia="Times New Roman" w:hAnsi="Book Antiqua"/>
      <w:sz w:val="23"/>
    </w:rPr>
  </w:style>
  <w:style w:type="character" w:customStyle="1" w:styleId="a5">
    <w:name w:val="Основной текст Знак"/>
    <w:link w:val="a4"/>
    <w:rsid w:val="00A21757"/>
    <w:rPr>
      <w:rFonts w:ascii="Book Antiqua" w:eastAsia="Times New Roman" w:hAnsi="Book Antiqua" w:cs="Times New Roman"/>
      <w:sz w:val="23"/>
      <w:lang w:val="hr-HR"/>
    </w:rPr>
  </w:style>
  <w:style w:type="paragraph" w:styleId="a6">
    <w:name w:val="Balloon Text"/>
    <w:basedOn w:val="a"/>
    <w:link w:val="a7"/>
    <w:uiPriority w:val="99"/>
    <w:semiHidden/>
    <w:unhideWhenUsed/>
    <w:rsid w:val="004F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F7D26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50324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324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503240"/>
    <w:rPr>
      <w:sz w:val="20"/>
      <w:szCs w:val="20"/>
      <w:lang w:val="hr-H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240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03240"/>
    <w:rPr>
      <w:b/>
      <w:bCs/>
      <w:sz w:val="20"/>
      <w:szCs w:val="20"/>
      <w:lang w:val="hr-HR"/>
    </w:rPr>
  </w:style>
  <w:style w:type="character" w:styleId="ad">
    <w:name w:val="Strong"/>
    <w:uiPriority w:val="22"/>
    <w:qFormat/>
    <w:rsid w:val="00C856C1"/>
    <w:rPr>
      <w:b/>
      <w:bCs/>
    </w:rPr>
  </w:style>
  <w:style w:type="paragraph" w:styleId="ae">
    <w:name w:val="header"/>
    <w:basedOn w:val="a"/>
    <w:link w:val="af"/>
    <w:uiPriority w:val="99"/>
    <w:unhideWhenUsed/>
    <w:rsid w:val="003804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rsid w:val="003804A6"/>
    <w:rPr>
      <w:lang w:val="hr-HR"/>
    </w:rPr>
  </w:style>
  <w:style w:type="paragraph" w:styleId="af0">
    <w:name w:val="footer"/>
    <w:basedOn w:val="a"/>
    <w:link w:val="af1"/>
    <w:uiPriority w:val="99"/>
    <w:unhideWhenUsed/>
    <w:rsid w:val="003804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rsid w:val="003804A6"/>
    <w:rPr>
      <w:lang w:val="hr-HR"/>
    </w:rPr>
  </w:style>
  <w:style w:type="paragraph" w:customStyle="1" w:styleId="Default">
    <w:name w:val="Default"/>
    <w:rsid w:val="000C0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 w:eastAsia="bs-Latn-BA"/>
    </w:rPr>
  </w:style>
  <w:style w:type="paragraph" w:customStyle="1" w:styleId="T-98-2">
    <w:name w:val="T-9/8-2"/>
    <w:rsid w:val="00F05A1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hr-HR" w:eastAsia="hr-HR"/>
    </w:rPr>
  </w:style>
  <w:style w:type="paragraph" w:styleId="af2">
    <w:name w:val="footnote text"/>
    <w:basedOn w:val="a"/>
    <w:link w:val="af3"/>
    <w:semiHidden/>
    <w:rsid w:val="00F05A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af3">
    <w:name w:val="Текст сноски Знак"/>
    <w:link w:val="af2"/>
    <w:semiHidden/>
    <w:rsid w:val="00F05A18"/>
    <w:rPr>
      <w:rFonts w:ascii="Times New Roman" w:eastAsia="Times New Roman" w:hAnsi="Times New Roman"/>
      <w:lang w:val="hr-HR" w:eastAsia="hr-HR"/>
    </w:rPr>
  </w:style>
  <w:style w:type="character" w:styleId="af4">
    <w:name w:val="footnote reference"/>
    <w:semiHidden/>
    <w:rsid w:val="00F05A18"/>
    <w:rPr>
      <w:vertAlign w:val="superscript"/>
    </w:rPr>
  </w:style>
  <w:style w:type="paragraph" w:styleId="af5">
    <w:name w:val="No Spacing"/>
    <w:uiPriority w:val="1"/>
    <w:qFormat/>
    <w:rsid w:val="00CA300E"/>
    <w:rPr>
      <w:sz w:val="22"/>
      <w:szCs w:val="22"/>
      <w:lang w:val="hr-HR" w:eastAsia="en-US"/>
    </w:rPr>
  </w:style>
  <w:style w:type="paragraph" w:styleId="af6">
    <w:name w:val="Revision"/>
    <w:hidden/>
    <w:uiPriority w:val="99"/>
    <w:semiHidden/>
    <w:rsid w:val="00D30BFA"/>
    <w:rPr>
      <w:sz w:val="22"/>
      <w:szCs w:val="22"/>
      <w:lang w:val="hr-HR" w:eastAsia="en-US"/>
    </w:rPr>
  </w:style>
  <w:style w:type="table" w:styleId="af7">
    <w:name w:val="Table Grid"/>
    <w:basedOn w:val="a1"/>
    <w:uiPriority w:val="59"/>
    <w:rsid w:val="00B9552E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A67099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A67099"/>
  </w:style>
  <w:style w:type="paragraph" w:styleId="2">
    <w:name w:val="toc 2"/>
    <w:basedOn w:val="a"/>
    <w:next w:val="a"/>
    <w:autoRedefine/>
    <w:uiPriority w:val="39"/>
    <w:unhideWhenUsed/>
    <w:qFormat/>
    <w:rsid w:val="002F4F00"/>
    <w:pPr>
      <w:tabs>
        <w:tab w:val="right" w:leader="dot" w:pos="9062"/>
      </w:tabs>
      <w:ind w:left="220"/>
    </w:pPr>
    <w:rPr>
      <w:rFonts w:ascii="Arial" w:eastAsia="Times New Roman" w:hAnsi="Arial" w:cs="Arial"/>
      <w:b/>
      <w:bCs/>
      <w:noProof/>
      <w:lang w:val="bs-Latn-BA"/>
    </w:rPr>
  </w:style>
  <w:style w:type="character" w:styleId="af8">
    <w:name w:val="Hyperlink"/>
    <w:uiPriority w:val="99"/>
    <w:unhideWhenUsed/>
    <w:rsid w:val="00A67099"/>
    <w:rPr>
      <w:color w:val="0000FF"/>
      <w:u w:val="single"/>
    </w:rPr>
  </w:style>
  <w:style w:type="table" w:customStyle="1" w:styleId="TableGrid1">
    <w:name w:val="Table Grid1"/>
    <w:basedOn w:val="a1"/>
    <w:next w:val="af7"/>
    <w:rsid w:val="00094B49"/>
    <w:rPr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"/>
    <w:uiPriority w:val="39"/>
    <w:semiHidden/>
    <w:unhideWhenUsed/>
    <w:qFormat/>
    <w:rsid w:val="00094B49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94B49"/>
    <w:pPr>
      <w:spacing w:after="100"/>
      <w:ind w:left="440"/>
    </w:pPr>
    <w:rPr>
      <w:rFonts w:eastAsia="MS Mincho" w:cs="Arial"/>
      <w:lang w:val="en-US" w:eastAsia="ja-JP"/>
    </w:rPr>
  </w:style>
  <w:style w:type="character" w:customStyle="1" w:styleId="st42">
    <w:name w:val="st42"/>
    <w:rsid w:val="00B90FDC"/>
    <w:rPr>
      <w:rFonts w:ascii="Times New Roman" w:hAnsi="Times New Roman" w:cs="Times New Roman" w:hint="default"/>
      <w:color w:val="000000"/>
    </w:rPr>
  </w:style>
  <w:style w:type="paragraph" w:customStyle="1" w:styleId="afa">
    <w:name w:val="Нормальний текст"/>
    <w:basedOn w:val="a"/>
    <w:rsid w:val="00CF02DC"/>
    <w:pPr>
      <w:spacing w:before="120"/>
      <w:ind w:firstLine="567"/>
      <w:jc w:val="both"/>
    </w:pPr>
    <w:rPr>
      <w:rFonts w:eastAsia="Times New Roman"/>
      <w:sz w:val="20"/>
      <w:szCs w:val="20"/>
      <w:lang w:val="uk-UA"/>
    </w:rPr>
  </w:style>
  <w:style w:type="character" w:customStyle="1" w:styleId="12">
    <w:name w:val="Заголовок №1_"/>
    <w:link w:val="13"/>
    <w:rsid w:val="008659B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8659B2"/>
    <w:pPr>
      <w:widowControl w:val="0"/>
      <w:shd w:val="clear" w:color="auto" w:fill="FFFFFF"/>
      <w:spacing w:before="1260" w:after="120" w:line="0" w:lineRule="atLeast"/>
      <w:ind w:hanging="1020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3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51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1AF3-5916-4AFC-93E9-0A289D75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12024</CharactersWithSpaces>
  <SharedDoc>false</SharedDoc>
  <HLinks>
    <vt:vector size="6" baseType="variant">
      <vt:variant>
        <vt:i4>7208999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https://zakon.rada.gov.ua/laws/show/3551-12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sdizdar</dc:creator>
  <cp:keywords/>
  <cp:lastModifiedBy>Лавінюкова Наталія Вікторівна</cp:lastModifiedBy>
  <cp:revision>9</cp:revision>
  <cp:lastPrinted>2020-07-29T12:42:00Z</cp:lastPrinted>
  <dcterms:created xsi:type="dcterms:W3CDTF">2020-07-29T12:30:00Z</dcterms:created>
  <dcterms:modified xsi:type="dcterms:W3CDTF">2020-09-01T06:10:00Z</dcterms:modified>
</cp:coreProperties>
</file>