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61" w:rsidRPr="00443E37" w:rsidRDefault="002F6F61" w:rsidP="002F6F61">
      <w:pPr>
        <w:shd w:val="clear" w:color="auto" w:fill="FFFFFF"/>
        <w:spacing w:before="150" w:after="15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  <w:r w:rsidRPr="00443E37">
        <w:rPr>
          <w:rFonts w:eastAsia="Times New Roman"/>
          <w:b/>
          <w:bCs/>
          <w:color w:val="000000"/>
          <w:sz w:val="24"/>
          <w:szCs w:val="24"/>
          <w:lang w:val="uk-UA" w:eastAsia="uk-UA"/>
        </w:rPr>
        <w:t>ПРОГНОЗ ВПЛИВУ</w:t>
      </w:r>
      <w:r w:rsidRPr="00443E37">
        <w:rPr>
          <w:rFonts w:eastAsia="Times New Roman"/>
          <w:color w:val="000000"/>
          <w:sz w:val="24"/>
          <w:szCs w:val="24"/>
          <w:lang w:val="uk-UA" w:eastAsia="uk-UA"/>
        </w:rPr>
        <w:br/>
      </w:r>
      <w:r w:rsidRPr="00443E37">
        <w:rPr>
          <w:rFonts w:eastAsia="Times New Roman"/>
          <w:b/>
          <w:bCs/>
          <w:color w:val="000000"/>
          <w:sz w:val="24"/>
          <w:szCs w:val="24"/>
          <w:lang w:val="uk-UA" w:eastAsia="uk-UA"/>
        </w:rPr>
        <w:t>реалізації розпорядження на ключові інтереси заінтересованих сторін</w:t>
      </w:r>
    </w:p>
    <w:p w:rsidR="002F6F61" w:rsidRPr="00443E37" w:rsidRDefault="002F6F61" w:rsidP="002F6F61">
      <w:pPr>
        <w:spacing w:before="120" w:after="120"/>
        <w:ind w:firstLine="709"/>
        <w:jc w:val="both"/>
        <w:rPr>
          <w:sz w:val="24"/>
          <w:szCs w:val="24"/>
          <w:lang w:val="uk-UA"/>
        </w:rPr>
      </w:pPr>
      <w:bookmarkStart w:id="0" w:name="n1760"/>
      <w:bookmarkEnd w:id="0"/>
      <w:r w:rsidRPr="00443E37">
        <w:rPr>
          <w:rFonts w:eastAsia="Times New Roman"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Pr="00443E37">
        <w:rPr>
          <w:sz w:val="24"/>
          <w:szCs w:val="24"/>
          <w:lang w:val="uk-UA"/>
        </w:rPr>
        <w:t>Проєктом</w:t>
      </w:r>
      <w:proofErr w:type="spellEnd"/>
      <w:r w:rsidRPr="00443E37">
        <w:rPr>
          <w:sz w:val="24"/>
          <w:szCs w:val="24"/>
          <w:lang w:val="uk-UA"/>
        </w:rPr>
        <w:t xml:space="preserve"> акта пропонується затвердити План дій на 2021-2025 роки щодо реалізації Національної стратегії розвитку системи фізкультурно-спортивної реабілітації ветеранів війни та членів їх сімей, </w:t>
      </w:r>
      <w:proofErr w:type="spellStart"/>
      <w:r w:rsidRPr="00443E37">
        <w:rPr>
          <w:sz w:val="24"/>
          <w:szCs w:val="24"/>
          <w:lang w:val="uk-UA"/>
        </w:rPr>
        <w:t>сімей</w:t>
      </w:r>
      <w:proofErr w:type="spellEnd"/>
      <w:r w:rsidRPr="00443E37">
        <w:rPr>
          <w:sz w:val="24"/>
          <w:szCs w:val="24"/>
          <w:lang w:val="uk-UA"/>
        </w:rPr>
        <w:t xml:space="preserve"> загиблих (померлих) ветеранів війни на виконання Указу Президента України від 23 серпня 2020 р. №342 “Питання розвитку національної системи фізкультурно–спортивної реабілітації ветеранів війни та членів їх сімей, </w:t>
      </w:r>
      <w:proofErr w:type="spellStart"/>
      <w:r w:rsidRPr="00443E37">
        <w:rPr>
          <w:sz w:val="24"/>
          <w:szCs w:val="24"/>
          <w:lang w:val="uk-UA"/>
        </w:rPr>
        <w:t>сімей</w:t>
      </w:r>
      <w:proofErr w:type="spellEnd"/>
      <w:r w:rsidRPr="00443E37">
        <w:rPr>
          <w:sz w:val="24"/>
          <w:szCs w:val="24"/>
          <w:lang w:val="uk-UA"/>
        </w:rPr>
        <w:t xml:space="preserve"> загиблих (померлих) ветеранів </w:t>
      </w:r>
      <w:proofErr w:type="spellStart"/>
      <w:r w:rsidRPr="00443E37">
        <w:rPr>
          <w:sz w:val="24"/>
          <w:szCs w:val="24"/>
          <w:lang w:val="uk-UA"/>
        </w:rPr>
        <w:t>війниˮ</w:t>
      </w:r>
      <w:proofErr w:type="spellEnd"/>
    </w:p>
    <w:p w:rsidR="002F6F61" w:rsidRPr="00443E37" w:rsidRDefault="002F6F61" w:rsidP="002F6F61">
      <w:pPr>
        <w:spacing w:before="120" w:after="120"/>
        <w:ind w:firstLine="709"/>
        <w:jc w:val="both"/>
        <w:rPr>
          <w:rFonts w:eastAsia="Times New Roman"/>
          <w:color w:val="000000"/>
          <w:sz w:val="24"/>
          <w:szCs w:val="24"/>
          <w:lang w:val="uk-UA" w:eastAsia="uk-UA"/>
        </w:rPr>
      </w:pPr>
      <w:r w:rsidRPr="00443E37">
        <w:rPr>
          <w:sz w:val="24"/>
          <w:szCs w:val="24"/>
          <w:lang w:val="uk-UA"/>
        </w:rPr>
        <w:t>2</w:t>
      </w:r>
      <w:r w:rsidRPr="00443E37">
        <w:rPr>
          <w:rFonts w:eastAsia="Times New Roman"/>
          <w:color w:val="000000"/>
          <w:sz w:val="24"/>
          <w:szCs w:val="24"/>
          <w:lang w:val="uk-UA" w:eastAsia="uk-UA"/>
        </w:rPr>
        <w:t>. Вплив на ключові інтереси усіх заінтересованих сторін:</w:t>
      </w:r>
    </w:p>
    <w:tbl>
      <w:tblPr>
        <w:tblW w:w="500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3"/>
        <w:gridCol w:w="3110"/>
        <w:gridCol w:w="2093"/>
        <w:gridCol w:w="2598"/>
        <w:gridCol w:w="2892"/>
      </w:tblGrid>
      <w:tr w:rsidR="002F6F61" w:rsidRPr="00443E37" w:rsidTr="004D4409">
        <w:trPr>
          <w:trHeight w:val="1232"/>
        </w:trPr>
        <w:tc>
          <w:tcPr>
            <w:tcW w:w="1362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bookmarkStart w:id="1" w:name="n1762"/>
            <w:bookmarkEnd w:id="1"/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Заінтересована сторона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Ключовий інтерес</w:t>
            </w:r>
          </w:p>
        </w:tc>
        <w:tc>
          <w:tcPr>
            <w:tcW w:w="15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br/>
              <w:t>(у числовому або якісному вимірі)</w:t>
            </w:r>
          </w:p>
        </w:tc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6F61" w:rsidRPr="00443E37" w:rsidRDefault="002F6F61" w:rsidP="004D4409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Пояснення (чому саме реалізація розпорядження призведе до очікуваного впливу)</w:t>
            </w:r>
          </w:p>
        </w:tc>
      </w:tr>
      <w:tr w:rsidR="002F6F61" w:rsidRPr="00443E37" w:rsidTr="004D4409">
        <w:trPr>
          <w:trHeight w:val="673"/>
        </w:trPr>
        <w:tc>
          <w:tcPr>
            <w:tcW w:w="1362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короткостроковий вплив (до року)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61" w:rsidRPr="00443E37" w:rsidRDefault="002F6F61" w:rsidP="004D4409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середньостроковий вплив (більше року)</w:t>
            </w:r>
          </w:p>
        </w:tc>
        <w:tc>
          <w:tcPr>
            <w:tcW w:w="9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61" w:rsidRPr="00443E37" w:rsidRDefault="002F6F61" w:rsidP="004D4409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  <w:tr w:rsidR="002F6F61" w:rsidRPr="00443E37" w:rsidTr="004D4409">
        <w:trPr>
          <w:trHeight w:val="2430"/>
        </w:trPr>
        <w:tc>
          <w:tcPr>
            <w:tcW w:w="13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F61" w:rsidRPr="00443E37" w:rsidRDefault="002F6F61" w:rsidP="004D4409">
            <w:pPr>
              <w:jc w:val="both"/>
              <w:rPr>
                <w:sz w:val="24"/>
                <w:szCs w:val="24"/>
                <w:lang w:val="uk-UA"/>
              </w:rPr>
            </w:pPr>
            <w:r w:rsidRPr="00443E37">
              <w:rPr>
                <w:sz w:val="24"/>
                <w:szCs w:val="24"/>
                <w:lang w:val="uk-UA"/>
              </w:rPr>
              <w:t xml:space="preserve">Ветерани війни, члени їх сімей, сім’ї загиблих (померлих) ветеранів війни  </w:t>
            </w:r>
          </w:p>
          <w:p w:rsidR="002F6F61" w:rsidRPr="00443E37" w:rsidRDefault="002F6F61" w:rsidP="004D440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6F61" w:rsidRPr="00443E37" w:rsidRDefault="002F6F61" w:rsidP="004D4409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F61" w:rsidRPr="00443E37" w:rsidRDefault="002F6F61" w:rsidP="004D4409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 xml:space="preserve">Фізкультурно-спортивна реабілітація має бути організована як системний процес, який здійснюється суб’єктами </w:t>
            </w:r>
            <w:proofErr w:type="spellStart"/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фізкультурно–</w:t>
            </w:r>
            <w:proofErr w:type="spellEnd"/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 xml:space="preserve"> спортивної реабілітації на об’єктах спеціалізованої інфраструктури через стандартні й регламентовані процеси та процедури 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F61" w:rsidRPr="00443E37" w:rsidRDefault="002F6F61" w:rsidP="004D4409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Позитивний</w:t>
            </w:r>
          </w:p>
          <w:p w:rsidR="002F6F61" w:rsidRPr="00443E37" w:rsidRDefault="002F6F61" w:rsidP="004D4409">
            <w:pPr>
              <w:spacing w:before="15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6F61" w:rsidRPr="00443E37" w:rsidRDefault="002F6F61" w:rsidP="004D4409">
            <w:pPr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443E37">
              <w:rPr>
                <w:rFonts w:eastAsia="Times New Roman"/>
                <w:sz w:val="24"/>
                <w:szCs w:val="24"/>
                <w:lang w:val="uk-UA" w:eastAsia="uk-UA"/>
              </w:rPr>
              <w:t>Позитивний</w:t>
            </w:r>
          </w:p>
          <w:p w:rsidR="002F6F61" w:rsidRPr="00443E37" w:rsidRDefault="002F6F61" w:rsidP="004D4409">
            <w:pPr>
              <w:spacing w:before="15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F6F61" w:rsidRPr="00443E37" w:rsidRDefault="002F6F61" w:rsidP="004D4409">
            <w:pPr>
              <w:jc w:val="both"/>
              <w:rPr>
                <w:sz w:val="24"/>
                <w:szCs w:val="24"/>
                <w:lang w:val="uk-UA"/>
              </w:rPr>
            </w:pPr>
            <w:r w:rsidRPr="00443E37">
              <w:rPr>
                <w:sz w:val="24"/>
                <w:szCs w:val="24"/>
                <w:lang w:val="uk-UA"/>
              </w:rPr>
              <w:t xml:space="preserve">Розвиток системи фізкультурно–спортивної реабілітації ветеранів війни та членів їх сімей, </w:t>
            </w:r>
            <w:proofErr w:type="spellStart"/>
            <w:r w:rsidRPr="00443E37">
              <w:rPr>
                <w:sz w:val="24"/>
                <w:szCs w:val="24"/>
                <w:lang w:val="uk-UA"/>
              </w:rPr>
              <w:t>сімей</w:t>
            </w:r>
            <w:proofErr w:type="spellEnd"/>
            <w:r w:rsidRPr="00443E37">
              <w:rPr>
                <w:sz w:val="24"/>
                <w:szCs w:val="24"/>
                <w:lang w:val="uk-UA"/>
              </w:rPr>
              <w:t xml:space="preserve"> загиблих (померлих) ветеранів війни для забезпечення доступу ветеранів війни та членів їх сімей, </w:t>
            </w:r>
            <w:proofErr w:type="spellStart"/>
            <w:r w:rsidRPr="00443E37">
              <w:rPr>
                <w:sz w:val="24"/>
                <w:szCs w:val="24"/>
                <w:lang w:val="uk-UA"/>
              </w:rPr>
              <w:t>сімей</w:t>
            </w:r>
            <w:proofErr w:type="spellEnd"/>
            <w:r w:rsidRPr="00443E37">
              <w:rPr>
                <w:sz w:val="24"/>
                <w:szCs w:val="24"/>
                <w:lang w:val="uk-UA"/>
              </w:rPr>
              <w:t xml:space="preserve"> загиблих (померлих) ветеранів війни до якісних послуг фізкультурно–спортивної реабілітації.</w:t>
            </w:r>
          </w:p>
        </w:tc>
      </w:tr>
    </w:tbl>
    <w:p w:rsidR="00F175B4" w:rsidRPr="002F6F61" w:rsidRDefault="00F175B4">
      <w:pPr>
        <w:rPr>
          <w:lang w:val="uk-UA"/>
        </w:rPr>
      </w:pPr>
      <w:bookmarkStart w:id="2" w:name="_GoBack"/>
      <w:bookmarkEnd w:id="2"/>
    </w:p>
    <w:sectPr w:rsidR="00F175B4" w:rsidRPr="002F6F61" w:rsidSect="002F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B"/>
    <w:rsid w:val="002F6F61"/>
    <w:rsid w:val="00F175B4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2020-11-23T10:51:00Z</dcterms:created>
  <dcterms:modified xsi:type="dcterms:W3CDTF">2020-11-23T10:51:00Z</dcterms:modified>
</cp:coreProperties>
</file>