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1DAD" w14:textId="77777777" w:rsidR="00FE7DAC" w:rsidRPr="00F65DBF" w:rsidRDefault="00FE7DAC" w:rsidP="00F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</w:pPr>
      <w:r w:rsidRPr="00F65DB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 xml:space="preserve">ЗВІТ </w:t>
      </w:r>
    </w:p>
    <w:p w14:paraId="2C075981" w14:textId="64EC976F" w:rsidR="00021067" w:rsidRPr="00F65DBF" w:rsidRDefault="00FE7DAC" w:rsidP="00F1066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</w:pPr>
      <w:r w:rsidRPr="00F65DB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>про роботу із запитами на публічну інформацію, що надійшли до Міністерст</w:t>
      </w:r>
      <w:r w:rsidR="00DB473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>ва у справах ветеранів України у першому півріччі 202</w:t>
      </w:r>
      <w:r w:rsidR="003C773E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>5</w:t>
      </w:r>
      <w:r w:rsidRPr="00F65DBF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 xml:space="preserve"> р</w:t>
      </w:r>
      <w:r w:rsidR="00DB4735">
        <w:rPr>
          <w:rFonts w:ascii="Times New Roman" w:eastAsia="Times New Roman" w:hAnsi="Times New Roman" w:cs="Times New Roman"/>
          <w:b/>
          <w:color w:val="1D1D1B"/>
          <w:sz w:val="28"/>
          <w:szCs w:val="28"/>
          <w:lang w:eastAsia="uk-UA"/>
        </w:rPr>
        <w:t>оку</w:t>
      </w:r>
    </w:p>
    <w:p w14:paraId="310173AB" w14:textId="77777777" w:rsidR="00FE7DAC" w:rsidRPr="00F65DBF" w:rsidRDefault="00FE7DAC" w:rsidP="00F106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1FBF3DBE" w14:textId="19838540" w:rsidR="00BF5839" w:rsidRDefault="00BF5839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Організація роботи із забезпечення доступу громадськості до публічної інформації, розпорядником якої є Мінветеранів, а також організація розгляду запитів на публічну інформацію покладені на </w:t>
      </w:r>
      <w:r w:rsidR="002B69A5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BF5839">
        <w:rPr>
          <w:rFonts w:ascii="Times New Roman" w:hAnsi="Times New Roman" w:cs="Times New Roman"/>
          <w:sz w:val="28"/>
          <w:szCs w:val="28"/>
          <w:shd w:val="clear" w:color="auto" w:fill="FFFFFF"/>
        </w:rPr>
        <w:t>ідділ звернень громадян та доступу до публічної інформації Управління документообігу та звернень громадян Мінветеранів.</w:t>
      </w:r>
    </w:p>
    <w:p w14:paraId="06B0549B" w14:textId="77777777" w:rsidR="00895969" w:rsidRPr="0018612E" w:rsidRDefault="009B7FD9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Ре</w:t>
      </w:r>
      <w:r w:rsid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>алізуючи вимоги Закону України “</w:t>
      </w: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Про доступ до публічної інформації</w:t>
      </w:r>
      <w:r w:rsidR="00DC59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 </w:t>
      </w:r>
      <w:r w:rsidR="00895969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Мінветеранів </w:t>
      </w:r>
      <w:r w:rsidR="00803D7C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створені належні умови для </w:t>
      </w: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реалізаці</w:t>
      </w:r>
      <w:r w:rsidR="00803D7C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ї</w:t>
      </w: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забезпечення права кожного на доступ до інформації, що знаходиться у володінні Мінветеранів та інформації, що становить суспільний інтерес</w:t>
      </w:r>
      <w:r w:rsidR="00895969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35AA62BA" w14:textId="77777777" w:rsidR="00BF5839" w:rsidRPr="0018612E" w:rsidRDefault="00BF5839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>На офіційному сайті Мінветеранів розміщена та систематично оновлюється актуальна інформація для громадськості щодо нормативно-правових актів про доступ до публічної інформації, щодо наявної публічної інформації, розпорядником, якої є Мінветеранів,</w:t>
      </w:r>
      <w:r w:rsidR="0018612E" w:rsidRP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 запитів та шляхів надання</w:t>
      </w:r>
      <w:r w:rsidR="001861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запитів на публічну інформацію тощо.</w:t>
      </w:r>
    </w:p>
    <w:p w14:paraId="649A37AF" w14:textId="77777777" w:rsidR="00E31A41" w:rsidRPr="0018612E" w:rsidRDefault="00E31A41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18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931B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ожен запитувач </w:t>
      </w:r>
      <w:r w:rsidRPr="0018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фізична або юридична особа, об'єднання громадян без статусу юридичної особи чи представник засобів масової інформації</w:t>
      </w:r>
      <w:r w:rsidR="0018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18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мають змогу подати з</w:t>
      </w:r>
      <w:r w:rsidR="007F57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апит в усній чи письмовій формі,</w:t>
      </w:r>
      <w:r w:rsidRPr="0018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шляхом надсилання поштою, електронною поштою, телефоном або через </w:t>
      </w:r>
      <w:r w:rsidR="0018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</w:t>
      </w:r>
      <w:r w:rsidRPr="001861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йн-форму для подання запиту на отримання інформації.</w:t>
      </w:r>
    </w:p>
    <w:p w14:paraId="0B5724AC" w14:textId="4D6CA490" w:rsidR="00E31A41" w:rsidRPr="0018612E" w:rsidRDefault="00E31A41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18612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У фойє адміністративної будівлі Мінветеранів</w:t>
      </w:r>
      <w:r w:rsidR="007F571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(</w:t>
      </w:r>
      <w:r w:rsidR="003C773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вул. Хрещатик, 34</w:t>
      </w:r>
      <w:r w:rsidR="007F571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, </w:t>
      </w:r>
      <w:r w:rsidR="007F571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br/>
        <w:t>м. Київ)</w:t>
      </w:r>
      <w:r w:rsidRPr="0018612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облаштовано скриньку для запитів на публічну інформацію, щоб запитувачі мали можливіс</w:t>
      </w:r>
      <w:r w:rsidR="00DB473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ть особисто подати свої запити, та Інформаційний стенд із відповідною інформацією для запитувачів.</w:t>
      </w:r>
    </w:p>
    <w:p w14:paraId="292683C6" w14:textId="6258B52F" w:rsidR="0018612E" w:rsidRDefault="0018612E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DB4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першому півріччі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</w:t>
      </w:r>
      <w:r w:rsidR="003C7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</w:t>
      </w:r>
      <w:r w:rsidR="005C4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</w:t>
      </w:r>
      <w:r w:rsidR="00803D7C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адресу М</w:t>
      </w:r>
      <w:r w:rsidR="00B829BC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інветеранів</w:t>
      </w:r>
      <w:r w:rsidR="00803D7C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542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надійшло та </w:t>
      </w:r>
      <w:r w:rsidR="00931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зареєстровано</w:t>
      </w:r>
      <w:r w:rsidR="00B829BC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B4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</w:t>
      </w:r>
      <w:r w:rsidR="003C7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82</w:t>
      </w:r>
      <w:r w:rsidR="00B829BC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запит</w:t>
      </w:r>
      <w:r w:rsidR="003C7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B829BC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інформацію, </w:t>
      </w:r>
      <w:r w:rsidR="00803D7C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що подані </w:t>
      </w:r>
      <w:r w:rsidR="00DC5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 посиланням на Закон України “</w:t>
      </w:r>
      <w:r w:rsidR="00803D7C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 доступ до публічної інформації</w:t>
      </w:r>
      <w:r w:rsidR="00DC59D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”</w:t>
      </w:r>
      <w:r w:rsidR="00803D7C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14:paraId="3F0A5FE4" w14:textId="7030D73C" w:rsidR="00B829BC" w:rsidRDefault="00803D7C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</w:pPr>
      <w:r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Порівняльний аналіз динаміки надходження запитів свідчить, що їх кількість у порівнянні з</w:t>
      </w:r>
      <w:r w:rsidR="00DB4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аналогічним періодом </w:t>
      </w:r>
      <w:r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202</w:t>
      </w:r>
      <w:r w:rsidR="003C7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</w:t>
      </w:r>
      <w:r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рок</w:t>
      </w:r>
      <w:r w:rsidR="00DB4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</w:t>
      </w:r>
      <w:r w:rsidR="005C4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(2</w:t>
      </w:r>
      <w:r w:rsidR="003C7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68</w:t>
      </w:r>
      <w:r w:rsidR="005C44B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DB473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3C77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збільшилась несуттєво</w:t>
      </w:r>
      <w:r w:rsidRPr="00931B7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8513E6" w:rsidRPr="00F65DB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</w:p>
    <w:p w14:paraId="0C0D95D5" w14:textId="77777777" w:rsidR="00B829BC" w:rsidRDefault="006E7374" w:rsidP="001E590B">
      <w:pPr>
        <w:suppressAutoHyphens/>
        <w:autoSpaceDN w:val="0"/>
        <w:spacing w:after="0" w:line="240" w:lineRule="auto"/>
        <w:ind w:firstLine="567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eastAsia="uk-UA"/>
        </w:rPr>
      </w:pPr>
      <w:r w:rsidRPr="006E7374">
        <w:rPr>
          <w:rFonts w:ascii="Times New Roman" w:eastAsia="SimSun" w:hAnsi="Times New Roman" w:cs="Times New Roman"/>
          <w:noProof/>
          <w:kern w:val="3"/>
          <w:sz w:val="28"/>
          <w:szCs w:val="28"/>
          <w:lang w:eastAsia="uk-UA"/>
        </w:rPr>
        <w:drawing>
          <wp:inline distT="0" distB="0" distL="0" distR="0" wp14:anchorId="3E60E9B1" wp14:editId="4C845F42">
            <wp:extent cx="5334000" cy="2162175"/>
            <wp:effectExtent l="0" t="0" r="0" b="952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039C45B" w14:textId="77777777" w:rsidR="00D14EC0" w:rsidRDefault="00D14EC0" w:rsidP="00F1066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038E4D5" w14:textId="6D8C5A86" w:rsidR="00F65DBF" w:rsidRPr="00880503" w:rsidRDefault="00F65DBF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>Із</w:t>
      </w:r>
      <w:r w:rsidR="00931B7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900A7D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2</w:t>
      </w:r>
      <w:r w:rsidR="00F115EC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82</w:t>
      </w:r>
      <w:r w:rsidR="00931B72" w:rsidRPr="00931B7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запитів, отриманих Мінветеранів</w:t>
      </w:r>
      <w:r w:rsidR="00D14EC0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у </w:t>
      </w:r>
      <w:r w:rsidR="00900A7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першому піврічч</w:t>
      </w:r>
      <w:r w:rsidR="007D4D8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і </w:t>
      </w:r>
      <w:r w:rsidR="00900A7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202</w:t>
      </w:r>
      <w:r w:rsidR="00F115E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</w:t>
      </w:r>
      <w:r w:rsidR="00D14EC0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ро</w:t>
      </w:r>
      <w:r w:rsidR="00900A7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ку</w:t>
      </w:r>
      <w:r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: </w:t>
      </w:r>
    </w:p>
    <w:p w14:paraId="41AF8D9B" w14:textId="049AEE2E" w:rsidR="00F65DBF" w:rsidRPr="00880503" w:rsidRDefault="00F115EC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216</w:t>
      </w:r>
      <w:r w:rsidR="00F65DBF" w:rsidRPr="00931B7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51727A" w:rsidRPr="00931B7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</w:t>
      </w:r>
      <w:r w:rsidR="0051727A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F65DBF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надійшло електронною поштою (</w:t>
      </w:r>
      <w:r w:rsidR="00900A7D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7</w:t>
      </w: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7</w:t>
      </w:r>
      <w:r w:rsidR="00880503" w:rsidRPr="00931B7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%</w:t>
      </w:r>
      <w:r w:rsidR="0088050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F65DBF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від загальної кількості), </w:t>
      </w:r>
    </w:p>
    <w:p w14:paraId="06D83F11" w14:textId="2BE76C42" w:rsidR="00F65DBF" w:rsidRPr="00880503" w:rsidRDefault="00730225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9</w:t>
      </w:r>
      <w:r w:rsidR="00F65DBF" w:rsidRPr="00931B7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F65DBF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поштою (</w:t>
      </w:r>
      <w:r w:rsidR="00900A7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3</w:t>
      </w:r>
      <w:r w:rsidR="00F65DBF" w:rsidRPr="00931B7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%</w:t>
      </w:r>
      <w:r w:rsidR="0051727A" w:rsidRPr="00931B7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),</w:t>
      </w:r>
    </w:p>
    <w:p w14:paraId="30F814CB" w14:textId="58B05ABA" w:rsidR="00F65DBF" w:rsidRPr="00880503" w:rsidRDefault="00F115EC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50</w:t>
      </w:r>
      <w:r w:rsidR="00F65DBF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 через Систему електронної взаємодії органів виконавчої влади</w:t>
      </w:r>
      <w:r w:rsidR="007B70B7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(</w:t>
      </w:r>
      <w:r w:rsidR="007302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8</w:t>
      </w:r>
      <w:r w:rsidR="007B70B7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%)</w:t>
      </w:r>
      <w:r w:rsidR="00F65DBF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</w:t>
      </w:r>
    </w:p>
    <w:p w14:paraId="38426A44" w14:textId="0B66DF8D" w:rsidR="00F65DBF" w:rsidRDefault="00F115EC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>7</w:t>
      </w:r>
      <w:r w:rsidR="00F65DBF" w:rsidRPr="00931B72">
        <w:rPr>
          <w:rFonts w:ascii="Times New Roman" w:eastAsia="Times New Roman" w:hAnsi="Times New Roman" w:cs="Times New Roman"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 </w:t>
      </w:r>
      <w:r w:rsidR="00F65DBF" w:rsidRPr="00880503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bdr w:val="none" w:sz="0" w:space="0" w:color="auto" w:frame="1"/>
          <w:lang w:eastAsia="uk-UA"/>
        </w:rPr>
        <w:t xml:space="preserve">– </w:t>
      </w:r>
      <w:r w:rsidR="00F65DBF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передано запитувачами особисто</w:t>
      </w:r>
      <w:r w:rsidR="00900A7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(через скриньку для запитів)</w:t>
      </w:r>
      <w:r w:rsidR="00880503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(</w:t>
      </w:r>
      <w:r w:rsidR="007302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</w:t>
      </w:r>
      <w:r w:rsidR="00880503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%)</w:t>
      </w:r>
      <w:r w:rsidR="00F65DBF" w:rsidRPr="0088050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.</w:t>
      </w:r>
    </w:p>
    <w:p w14:paraId="2103DFEE" w14:textId="77777777" w:rsidR="00F115EC" w:rsidRDefault="00F115EC" w:rsidP="00F10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76FE26C5" w14:textId="77777777" w:rsidR="00895969" w:rsidRDefault="00F65DBF" w:rsidP="001E590B">
      <w:pPr>
        <w:shd w:val="clear" w:color="auto" w:fill="FFFFFF"/>
        <w:spacing w:after="0" w:line="240" w:lineRule="auto"/>
        <w:ind w:right="567" w:firstLine="567"/>
        <w:jc w:val="center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highlight w:val="yellow"/>
          <w:lang w:eastAsia="uk-UA"/>
        </w:rPr>
      </w:pPr>
      <w:r>
        <w:rPr>
          <w:rFonts w:ascii="ProbaPro" w:eastAsia="Times New Roman" w:hAnsi="ProbaPro" w:cs="Times New Roman"/>
          <w:noProof/>
          <w:color w:val="1D1D1B"/>
          <w:sz w:val="27"/>
          <w:szCs w:val="27"/>
          <w:lang w:eastAsia="uk-UA"/>
        </w:rPr>
        <w:drawing>
          <wp:inline distT="0" distB="0" distL="0" distR="0" wp14:anchorId="2ACDC981" wp14:editId="760A1225">
            <wp:extent cx="5372100" cy="196215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F2253EC" w14:textId="77777777" w:rsidR="00895969" w:rsidRDefault="00895969" w:rsidP="00F10661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highlight w:val="yellow"/>
          <w:lang w:eastAsia="uk-UA"/>
        </w:rPr>
      </w:pPr>
    </w:p>
    <w:p w14:paraId="28E143AD" w14:textId="77777777" w:rsidR="00F10661" w:rsidRDefault="00F10661" w:rsidP="00F10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32FA3E0E" w14:textId="58FCED50" w:rsidR="00D14EC0" w:rsidRDefault="002879A5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2879A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Результати аналізу даних свідчать, що кільк</w:t>
      </w:r>
      <w:r w:rsidR="00F115E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і</w:t>
      </w:r>
      <w:r w:rsidRPr="002879A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ст</w:t>
      </w:r>
      <w:r w:rsidR="00F115E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ь</w:t>
      </w:r>
      <w:r w:rsidRPr="002879A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запитів, отриманих електронною пошто</w:t>
      </w:r>
      <w:r w:rsidR="00F115E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ю, залишається майже незмінною</w:t>
      </w:r>
      <w:r w:rsidRPr="002879A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. Так, у </w:t>
      </w:r>
      <w:r w:rsidR="0064733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першому півріччі 202</w:t>
      </w:r>
      <w:r w:rsidR="00F115E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4</w:t>
      </w:r>
      <w:r w:rsidR="0064733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року </w:t>
      </w:r>
      <w:r w:rsidRPr="002879A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електронною поштою надійшло </w:t>
      </w:r>
      <w:r w:rsidR="007302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7</w:t>
      </w:r>
      <w:r w:rsidR="00F115E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8</w:t>
      </w:r>
      <w:r w:rsidR="0064733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% </w:t>
      </w:r>
      <w:r w:rsidR="007D4D8E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усіх </w:t>
      </w:r>
      <w:r w:rsidRPr="002879A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запитів</w:t>
      </w:r>
      <w:r w:rsidR="0064733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а у першому півріччі 202</w:t>
      </w:r>
      <w:r w:rsidR="00F115E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</w:t>
      </w:r>
      <w:r w:rsidR="0064733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року – 7</w:t>
      </w:r>
      <w:r w:rsidR="00F115EC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7</w:t>
      </w:r>
      <w:r w:rsidR="00647332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%.</w:t>
      </w:r>
    </w:p>
    <w:p w14:paraId="7399B18F" w14:textId="77777777" w:rsidR="00F10661" w:rsidRDefault="00F10661" w:rsidP="002B69A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2F88D0BF" w14:textId="77777777" w:rsidR="001D231C" w:rsidRDefault="001D231C" w:rsidP="00F10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  <w:r>
        <w:rPr>
          <w:rFonts w:ascii="Times New Roman" w:eastAsia="SimSun" w:hAnsi="Times New Roman" w:cs="Times New Roman"/>
          <w:noProof/>
          <w:kern w:val="3"/>
          <w:sz w:val="28"/>
          <w:szCs w:val="28"/>
          <w:lang w:eastAsia="uk-UA"/>
        </w:rPr>
        <w:drawing>
          <wp:inline distT="0" distB="0" distL="0" distR="0" wp14:anchorId="3CC9B062" wp14:editId="31B3D5F3">
            <wp:extent cx="5486400" cy="32861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EBCF479" w14:textId="77777777" w:rsidR="001D231C" w:rsidRDefault="001D231C" w:rsidP="00F10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</w:rPr>
      </w:pPr>
    </w:p>
    <w:p w14:paraId="4A2609B3" w14:textId="04AD0035" w:rsidR="00E31BC6" w:rsidRDefault="006E1642" w:rsidP="001E5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35C47">
        <w:rPr>
          <w:rFonts w:ascii="Times New Roman" w:eastAsia="SimSun" w:hAnsi="Times New Roman" w:cs="Times New Roman"/>
          <w:kern w:val="3"/>
          <w:sz w:val="28"/>
          <w:szCs w:val="28"/>
        </w:rPr>
        <w:t>Із загальної кількості з</w:t>
      </w:r>
      <w:r w:rsidR="0008684F">
        <w:rPr>
          <w:rFonts w:ascii="Times New Roman" w:eastAsia="SimSun" w:hAnsi="Times New Roman" w:cs="Times New Roman"/>
          <w:kern w:val="3"/>
          <w:sz w:val="28"/>
          <w:szCs w:val="28"/>
        </w:rPr>
        <w:t>апитів</w:t>
      </w:r>
      <w:r w:rsidRPr="00A35C47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r w:rsidR="002F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переважна більшість </w:t>
      </w:r>
      <w:r w:rsidR="0008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надійшла</w:t>
      </w:r>
      <w:r w:rsidR="002F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фізичних осіб</w:t>
      </w:r>
      <w:r w:rsidR="000868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F1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05</w:t>
      </w:r>
      <w:r w:rsidR="00842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E3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становить </w:t>
      </w:r>
      <w:r w:rsidR="00F1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</w:t>
      </w:r>
      <w:r w:rsidR="00842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% </w:t>
      </w:r>
      <w:r w:rsidR="00E31B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 загальної кількості запитів,</w:t>
      </w:r>
      <w:r w:rsidR="00842E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</w:t>
      </w:r>
      <w:r w:rsidR="00365A2B" w:rsidRP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юридичних осіб  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</w:t>
      </w:r>
      <w:r w:rsidR="00F1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1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%), від представників засобів масової інформації – </w:t>
      </w:r>
      <w:r w:rsidR="00F1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1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0A4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%), від </w:t>
      </w:r>
      <w:proofErr w:type="spellStart"/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обʼєднань</w:t>
      </w:r>
      <w:proofErr w:type="spellEnd"/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громадян без статусу юридичної особи – </w:t>
      </w:r>
      <w:r w:rsidR="00F1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32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F11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11 </w:t>
      </w:r>
      <w:r w:rsidR="00365A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%)</w:t>
      </w:r>
      <w:r w:rsidR="002F39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DE9B29E" w14:textId="687358FB" w:rsidR="00157AE3" w:rsidRDefault="00157AE3" w:rsidP="001E590B">
      <w:pPr>
        <w:shd w:val="clear" w:color="auto" w:fill="FFFFFF"/>
        <w:spacing w:after="24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57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У </w:t>
      </w:r>
      <w:r w:rsidR="006473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першому півріччі </w:t>
      </w:r>
      <w:r w:rsidRPr="00157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202</w:t>
      </w:r>
      <w:r w:rsidR="00F115E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</w:t>
      </w:r>
      <w:r w:rsidRPr="00157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</w:t>
      </w:r>
      <w:r w:rsidR="00647332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ку</w:t>
      </w:r>
      <w:r w:rsidRPr="00157AE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запитувачів цікавила така інформація: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6658"/>
        <w:gridCol w:w="1702"/>
      </w:tblGrid>
      <w:tr w:rsidR="00157AE3" w14:paraId="2C10064F" w14:textId="77777777" w:rsidTr="00F10661">
        <w:tc>
          <w:tcPr>
            <w:tcW w:w="6658" w:type="dxa"/>
          </w:tcPr>
          <w:p w14:paraId="29762420" w14:textId="77777777" w:rsidR="00157AE3" w:rsidRDefault="00FE0CED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Вид інформації за змістом</w:t>
            </w:r>
          </w:p>
          <w:p w14:paraId="3454B977" w14:textId="77777777" w:rsidR="00FE0CED" w:rsidRPr="00FE0CED" w:rsidRDefault="00FE0CED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1D1D1B"/>
                <w:sz w:val="24"/>
                <w:szCs w:val="24"/>
                <w:lang w:eastAsia="uk-UA"/>
              </w:rPr>
            </w:pPr>
            <w:r w:rsidRPr="00FE0CE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bdr w:val="none" w:sz="0" w:space="0" w:color="auto" w:frame="1"/>
                <w:lang w:eastAsia="uk-UA"/>
              </w:rPr>
              <w:t>(відповідно до ст. 10 ЗУ «Про інформацію»)</w:t>
            </w:r>
          </w:p>
        </w:tc>
        <w:tc>
          <w:tcPr>
            <w:tcW w:w="1702" w:type="dxa"/>
          </w:tcPr>
          <w:p w14:paraId="315BDBE7" w14:textId="77777777" w:rsidR="00157AE3" w:rsidRPr="009A35E9" w:rsidRDefault="00157AE3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uk-UA"/>
              </w:rPr>
              <w:t>Загальна кількість запитів</w:t>
            </w:r>
          </w:p>
        </w:tc>
      </w:tr>
      <w:tr w:rsidR="001D231C" w14:paraId="4DE10C3F" w14:textId="77777777" w:rsidTr="00F10661">
        <w:tc>
          <w:tcPr>
            <w:tcW w:w="6658" w:type="dxa"/>
          </w:tcPr>
          <w:p w14:paraId="7DCED2EC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 xml:space="preserve">Інформація про фізичну особу </w:t>
            </w:r>
          </w:p>
        </w:tc>
        <w:tc>
          <w:tcPr>
            <w:tcW w:w="1702" w:type="dxa"/>
          </w:tcPr>
          <w:p w14:paraId="027E99DB" w14:textId="7CB5D527" w:rsidR="001D231C" w:rsidRPr="009A35E9" w:rsidRDefault="00F115EC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59</w:t>
            </w:r>
          </w:p>
        </w:tc>
      </w:tr>
      <w:tr w:rsidR="001D231C" w14:paraId="3DED98C4" w14:textId="77777777" w:rsidTr="00F10661">
        <w:tc>
          <w:tcPr>
            <w:tcW w:w="6658" w:type="dxa"/>
          </w:tcPr>
          <w:p w14:paraId="4D9FB4BD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Інформація довідково-енциклопедичного характеру</w:t>
            </w:r>
          </w:p>
        </w:tc>
        <w:tc>
          <w:tcPr>
            <w:tcW w:w="1702" w:type="dxa"/>
          </w:tcPr>
          <w:p w14:paraId="02E59E11" w14:textId="4F8F0D0F" w:rsidR="001D231C" w:rsidRPr="009A35E9" w:rsidRDefault="00F115EC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0</w:t>
            </w:r>
          </w:p>
        </w:tc>
      </w:tr>
      <w:tr w:rsidR="001D231C" w14:paraId="5E0D8548" w14:textId="77777777" w:rsidTr="00F10661">
        <w:tc>
          <w:tcPr>
            <w:tcW w:w="6658" w:type="dxa"/>
          </w:tcPr>
          <w:p w14:paraId="5F0A5F96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Інформація про стан довкілля</w:t>
            </w:r>
          </w:p>
        </w:tc>
        <w:tc>
          <w:tcPr>
            <w:tcW w:w="1702" w:type="dxa"/>
          </w:tcPr>
          <w:p w14:paraId="2C01D9CE" w14:textId="77777777" w:rsidR="001D231C" w:rsidRDefault="001D231C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0</w:t>
            </w:r>
          </w:p>
        </w:tc>
      </w:tr>
      <w:tr w:rsidR="001D231C" w14:paraId="33541145" w14:textId="77777777" w:rsidTr="00F10661">
        <w:tc>
          <w:tcPr>
            <w:tcW w:w="6658" w:type="dxa"/>
          </w:tcPr>
          <w:p w14:paraId="47BF0601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Інформація про товар (роботу, послугу)</w:t>
            </w:r>
          </w:p>
        </w:tc>
        <w:tc>
          <w:tcPr>
            <w:tcW w:w="1702" w:type="dxa"/>
          </w:tcPr>
          <w:p w14:paraId="06562EF5" w14:textId="50022A5D" w:rsidR="001D231C" w:rsidRPr="009A35E9" w:rsidRDefault="00F115EC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36</w:t>
            </w:r>
          </w:p>
        </w:tc>
      </w:tr>
      <w:tr w:rsidR="001D231C" w14:paraId="7C0F5CD6" w14:textId="77777777" w:rsidTr="00F10661">
        <w:tc>
          <w:tcPr>
            <w:tcW w:w="6658" w:type="dxa"/>
          </w:tcPr>
          <w:p w14:paraId="3B275A9C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Науково-технічна інформація</w:t>
            </w:r>
          </w:p>
        </w:tc>
        <w:tc>
          <w:tcPr>
            <w:tcW w:w="1702" w:type="dxa"/>
          </w:tcPr>
          <w:p w14:paraId="6FCBE4A4" w14:textId="77777777" w:rsidR="001D231C" w:rsidRPr="009A35E9" w:rsidRDefault="002C57E3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0</w:t>
            </w:r>
          </w:p>
        </w:tc>
      </w:tr>
      <w:tr w:rsidR="001D231C" w14:paraId="422A0EBD" w14:textId="77777777" w:rsidTr="00F10661">
        <w:tc>
          <w:tcPr>
            <w:tcW w:w="6658" w:type="dxa"/>
          </w:tcPr>
          <w:p w14:paraId="74698848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Податкова інформація</w:t>
            </w:r>
          </w:p>
        </w:tc>
        <w:tc>
          <w:tcPr>
            <w:tcW w:w="1702" w:type="dxa"/>
          </w:tcPr>
          <w:p w14:paraId="0F9E2CD1" w14:textId="43CB6CA1" w:rsidR="001D231C" w:rsidRPr="009A35E9" w:rsidRDefault="000A4B23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12</w:t>
            </w:r>
          </w:p>
        </w:tc>
      </w:tr>
      <w:tr w:rsidR="001D231C" w14:paraId="390C7EB4" w14:textId="77777777" w:rsidTr="00F10661">
        <w:tc>
          <w:tcPr>
            <w:tcW w:w="6658" w:type="dxa"/>
          </w:tcPr>
          <w:p w14:paraId="62844711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Правова інформація</w:t>
            </w:r>
          </w:p>
        </w:tc>
        <w:tc>
          <w:tcPr>
            <w:tcW w:w="1702" w:type="dxa"/>
          </w:tcPr>
          <w:p w14:paraId="07A75249" w14:textId="5D00EC27" w:rsidR="001D231C" w:rsidRPr="009A35E9" w:rsidRDefault="00F115EC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104</w:t>
            </w:r>
          </w:p>
        </w:tc>
      </w:tr>
      <w:tr w:rsidR="001D231C" w14:paraId="260176CD" w14:textId="77777777" w:rsidTr="00F10661">
        <w:tc>
          <w:tcPr>
            <w:tcW w:w="6658" w:type="dxa"/>
          </w:tcPr>
          <w:p w14:paraId="2F65A478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Статистична інформація</w:t>
            </w:r>
          </w:p>
        </w:tc>
        <w:tc>
          <w:tcPr>
            <w:tcW w:w="1702" w:type="dxa"/>
          </w:tcPr>
          <w:p w14:paraId="69636AB4" w14:textId="327A8ACE" w:rsidR="001D231C" w:rsidRPr="009A35E9" w:rsidRDefault="00F115EC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47</w:t>
            </w:r>
          </w:p>
        </w:tc>
      </w:tr>
      <w:tr w:rsidR="001D231C" w14:paraId="67F75897" w14:textId="77777777" w:rsidTr="00F10661">
        <w:tc>
          <w:tcPr>
            <w:tcW w:w="6658" w:type="dxa"/>
          </w:tcPr>
          <w:p w14:paraId="2137502B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Соціологічна інформація</w:t>
            </w:r>
          </w:p>
        </w:tc>
        <w:tc>
          <w:tcPr>
            <w:tcW w:w="1702" w:type="dxa"/>
          </w:tcPr>
          <w:p w14:paraId="620B5637" w14:textId="66BF2DC1" w:rsidR="001D231C" w:rsidRPr="009A35E9" w:rsidRDefault="00F115EC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4</w:t>
            </w:r>
          </w:p>
        </w:tc>
      </w:tr>
      <w:tr w:rsidR="001D231C" w14:paraId="272B9035" w14:textId="77777777" w:rsidTr="00F10661">
        <w:tc>
          <w:tcPr>
            <w:tcW w:w="6658" w:type="dxa"/>
          </w:tcPr>
          <w:p w14:paraId="170E862E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Критична технологічна інформація</w:t>
            </w:r>
          </w:p>
        </w:tc>
        <w:tc>
          <w:tcPr>
            <w:tcW w:w="1702" w:type="dxa"/>
          </w:tcPr>
          <w:p w14:paraId="233E46B7" w14:textId="2B552694" w:rsidR="001D231C" w:rsidRPr="009A35E9" w:rsidRDefault="00F115EC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0</w:t>
            </w:r>
          </w:p>
        </w:tc>
      </w:tr>
      <w:tr w:rsidR="001D231C" w14:paraId="00CECF79" w14:textId="77777777" w:rsidTr="00F10661">
        <w:tc>
          <w:tcPr>
            <w:tcW w:w="6658" w:type="dxa"/>
          </w:tcPr>
          <w:p w14:paraId="4D47FDCC" w14:textId="77777777" w:rsidR="001D231C" w:rsidRPr="009A35E9" w:rsidRDefault="001D231C" w:rsidP="00F1066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 w:rsidRPr="009A35E9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Інші види інформації</w:t>
            </w:r>
          </w:p>
        </w:tc>
        <w:tc>
          <w:tcPr>
            <w:tcW w:w="1702" w:type="dxa"/>
          </w:tcPr>
          <w:p w14:paraId="5DE04BF5" w14:textId="49A3F327" w:rsidR="001D231C" w:rsidRPr="009A35E9" w:rsidRDefault="00F115EC" w:rsidP="00F1066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  <w:lang w:eastAsia="uk-UA"/>
              </w:rPr>
              <w:t>20</w:t>
            </w:r>
          </w:p>
        </w:tc>
      </w:tr>
    </w:tbl>
    <w:p w14:paraId="18FA03CA" w14:textId="77777777" w:rsidR="00DF7DC1" w:rsidRDefault="00DF7DC1" w:rsidP="00F10661">
      <w:pPr>
        <w:shd w:val="clear" w:color="auto" w:fill="FFFFFF"/>
        <w:spacing w:after="0" w:line="240" w:lineRule="auto"/>
        <w:jc w:val="both"/>
        <w:textAlignment w:val="baseline"/>
        <w:rPr>
          <w:rFonts w:ascii="ProbaPro" w:eastAsia="Times New Roman" w:hAnsi="ProbaPro" w:cs="Times New Roman"/>
          <w:color w:val="1D1D1B"/>
          <w:sz w:val="27"/>
          <w:szCs w:val="27"/>
          <w:lang w:eastAsia="uk-UA"/>
        </w:rPr>
      </w:pPr>
    </w:p>
    <w:p w14:paraId="4A702404" w14:textId="1B89A96E" w:rsidR="00135186" w:rsidRDefault="00287FA7" w:rsidP="001E5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EA3B5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Найактуальнішим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и</w:t>
      </w:r>
      <w:r w:rsidRPr="00EA3B5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є</w:t>
      </w:r>
      <w:r w:rsidRPr="00EA3B5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питання соціального захисту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та інформації про ЄДРВВ</w:t>
      </w:r>
      <w:r w:rsidR="002C57E3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, </w:t>
      </w:r>
      <w:r w:rsidR="00D32D8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як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і</w:t>
      </w:r>
      <w:r w:rsidR="00D32D8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станов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лять разом 5</w:t>
      </w:r>
      <w:r w:rsidR="004A559A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8</w:t>
      </w:r>
      <w:r w:rsidR="00D32D8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% (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</w:t>
      </w:r>
      <w:r w:rsidR="004A559A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63</w:t>
      </w:r>
      <w:r w:rsidR="00D32D8D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) усіх запитів. </w:t>
      </w:r>
      <w:bookmarkStart w:id="0" w:name="_Hlk38552244"/>
    </w:p>
    <w:p w14:paraId="4B22854E" w14:textId="1D6E6363" w:rsidR="00132EAA" w:rsidRDefault="002C57E3" w:rsidP="001E5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Також часто запитуваною 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є </w:t>
      </w: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інформація щодо розміру </w:t>
      </w:r>
      <w:r w:rsidR="0013518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заробітної плати (надбавок, премії) керівництва та працівників Мінветеранів, штатного роз</w:t>
      </w:r>
      <w:r w:rsidR="00BE6E1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пису та структури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, </w:t>
      </w:r>
      <w:r w:rsidR="00431B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інформація щодо 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діяльності фахівців із супроводу ветеранів, діяльності ЦСПР, </w:t>
      </w:r>
      <w:r w:rsidR="00431B25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медичного забезпечення</w:t>
      </w:r>
      <w:r w:rsidR="006D13AA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ветерансько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го спорту</w:t>
      </w:r>
      <w:r w:rsidR="004A559A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пільгового навчання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та інш</w:t>
      </w:r>
      <w:r w:rsidR="00F1066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е.</w:t>
      </w:r>
    </w:p>
    <w:bookmarkEnd w:id="0"/>
    <w:p w14:paraId="6E1A5FA2" w14:textId="5F7C4B39" w:rsidR="00FE0CED" w:rsidRDefault="00FE0CED" w:rsidP="001E5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До опрацювання запитів на публічну інформацію були долучені усі структурні підрозділи Мінветеранів відповідно до компетенції.</w:t>
      </w:r>
    </w:p>
    <w:p w14:paraId="04D3CCC1" w14:textId="77777777" w:rsidR="00FE0CED" w:rsidRDefault="00FE0CED" w:rsidP="00F10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</w:p>
    <w:p w14:paraId="4C62C82D" w14:textId="77777777" w:rsidR="00FE0CED" w:rsidRPr="00EA3B5D" w:rsidRDefault="00EC3855" w:rsidP="001E590B">
      <w:pPr>
        <w:shd w:val="clear" w:color="auto" w:fill="FFFFFF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color w:val="1D1D1B"/>
          <w:sz w:val="28"/>
          <w:szCs w:val="28"/>
          <w:lang w:eastAsia="uk-UA"/>
        </w:rPr>
        <w:drawing>
          <wp:inline distT="0" distB="0" distL="0" distR="0" wp14:anchorId="7966F0C0" wp14:editId="1377CEC6">
            <wp:extent cx="5543550" cy="30765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4A64BCE" w14:textId="77777777" w:rsidR="00287FA7" w:rsidRDefault="00287FA7" w:rsidP="00F106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2327F9D" w14:textId="10824E6A" w:rsidR="00E451D4" w:rsidRPr="00DC59D1" w:rsidRDefault="00E451D4" w:rsidP="001E5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lastRenderedPageBreak/>
        <w:t>За р</w:t>
      </w:r>
      <w:r w:rsidR="009A35E9"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езульта</w:t>
      </w:r>
      <w:r w:rsidR="004431B0"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та</w:t>
      </w:r>
      <w:r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ми</w:t>
      </w:r>
      <w:r w:rsidR="009A35E9"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розгляду та опрацювання</w:t>
      </w:r>
      <w:r w:rsidR="002119ED"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запитів на публічну інформацію, що надійшли до Мінветеранів у</w:t>
      </w:r>
      <w:r w:rsidR="007F5710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першому півріччі</w:t>
      </w:r>
      <w:r w:rsidR="002119ED"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202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5</w:t>
      </w:r>
      <w:r w:rsidR="002119ED" w:rsidRPr="00DC59D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році</w:t>
      </w:r>
      <w:r w:rsidR="003F77EB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, станом на 01.07.2025</w:t>
      </w:r>
      <w:r w:rsidR="008A65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:</w:t>
      </w:r>
    </w:p>
    <w:p w14:paraId="76568BF7" w14:textId="331DEBE2" w:rsidR="00E451D4" w:rsidRPr="008A65E4" w:rsidRDefault="007F5710" w:rsidP="001E5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 w:rsidRPr="008A65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</w:t>
      </w:r>
      <w:r w:rsidR="00F10661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47</w:t>
      </w:r>
      <w:r w:rsidR="00C1777E" w:rsidRPr="008A65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</w:t>
      </w:r>
      <w:r w:rsidR="00E451D4" w:rsidRPr="008A65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– задоволено;</w:t>
      </w:r>
    </w:p>
    <w:p w14:paraId="71446C14" w14:textId="20C3DAC5" w:rsidR="00E451D4" w:rsidRPr="008A65E4" w:rsidRDefault="00F10661" w:rsidP="001E5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14</w:t>
      </w:r>
      <w:r w:rsidR="00E451D4" w:rsidRPr="008A65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 надіслано за належністю розпорядникам інформації;</w:t>
      </w:r>
    </w:p>
    <w:p w14:paraId="177320BA" w14:textId="7AC1AE26" w:rsidR="00D10076" w:rsidRDefault="00F10661" w:rsidP="001E5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20</w:t>
      </w:r>
      <w:r w:rsidR="00E451D4" w:rsidRPr="008A65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–</w:t>
      </w:r>
      <w:r w:rsidR="004431B0" w:rsidRPr="008A65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відмовлено у</w:t>
      </w:r>
      <w:r w:rsidR="007F5710" w:rsidRPr="008A65E4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 xml:space="preserve"> наданні запитуваної інформації</w:t>
      </w:r>
      <w:r w:rsidR="00D10076"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;</w:t>
      </w:r>
    </w:p>
    <w:p w14:paraId="0360BFAC" w14:textId="7EA4AAB6" w:rsidR="00D10076" w:rsidRPr="00D10076" w:rsidRDefault="00D10076" w:rsidP="001E590B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1D1D1B"/>
          <w:sz w:val="28"/>
          <w:szCs w:val="28"/>
          <w:lang w:eastAsia="uk-UA"/>
        </w:rPr>
        <w:t>1 – знаходиться на виконанні.</w:t>
      </w:r>
    </w:p>
    <w:p w14:paraId="52BC64B0" w14:textId="77777777" w:rsidR="009A35E9" w:rsidRDefault="009A35E9" w:rsidP="00F10661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206FA814" w14:textId="77777777" w:rsidR="009A35E9" w:rsidRDefault="00E451D4" w:rsidP="00F10661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  <w:r w:rsidRPr="00E451D4">
        <w:rPr>
          <w:rFonts w:ascii="Arial" w:hAnsi="Arial" w:cs="Arial"/>
          <w:b/>
          <w:bCs/>
          <w:noProof/>
          <w:color w:val="000000"/>
          <w:sz w:val="21"/>
          <w:szCs w:val="21"/>
          <w:bdr w:val="none" w:sz="0" w:space="0" w:color="auto" w:frame="1"/>
        </w:rPr>
        <w:drawing>
          <wp:inline distT="0" distB="0" distL="0" distR="0" wp14:anchorId="0A65686F" wp14:editId="791ECA1B">
            <wp:extent cx="5019675" cy="3009900"/>
            <wp:effectExtent l="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68FCF92" w14:textId="77777777" w:rsidR="009A35E9" w:rsidRDefault="009A35E9" w:rsidP="00F10661">
      <w:pPr>
        <w:pStyle w:val="a4"/>
        <w:shd w:val="clear" w:color="auto" w:fill="FFFFFF"/>
        <w:spacing w:before="0" w:beforeAutospacing="0" w:after="0" w:afterAutospacing="0"/>
        <w:rPr>
          <w:rStyle w:val="a3"/>
          <w:rFonts w:ascii="Arial" w:hAnsi="Arial" w:cs="Arial"/>
          <w:color w:val="000000"/>
          <w:sz w:val="21"/>
          <w:szCs w:val="21"/>
          <w:bdr w:val="none" w:sz="0" w:space="0" w:color="auto" w:frame="1"/>
        </w:rPr>
      </w:pPr>
    </w:p>
    <w:p w14:paraId="061AF8BF" w14:textId="77777777" w:rsidR="00DC59D1" w:rsidRDefault="00DC59D1" w:rsidP="00F10661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02124"/>
          <w:shd w:val="clear" w:color="auto" w:fill="FFFFFF"/>
        </w:rPr>
      </w:pPr>
    </w:p>
    <w:p w14:paraId="53C56FA8" w14:textId="77777777" w:rsidR="00DC59D1" w:rsidRPr="00DC59D1" w:rsidRDefault="00DC59D1" w:rsidP="001E590B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DC59D1">
        <w:rPr>
          <w:color w:val="202124"/>
          <w:sz w:val="28"/>
          <w:szCs w:val="28"/>
          <w:shd w:val="clear" w:color="auto" w:fill="FFFFFF"/>
        </w:rPr>
        <w:t>Розгляд запитів на публічну інформацію відбувається із дотриманням строків, визначених с</w:t>
      </w:r>
      <w:r>
        <w:rPr>
          <w:color w:val="202124"/>
          <w:sz w:val="28"/>
          <w:szCs w:val="28"/>
          <w:shd w:val="clear" w:color="auto" w:fill="FFFFFF"/>
        </w:rPr>
        <w:t>таттею 20 Закону України “</w:t>
      </w:r>
      <w:r w:rsidRPr="00DC59D1">
        <w:rPr>
          <w:color w:val="202124"/>
          <w:sz w:val="28"/>
          <w:szCs w:val="28"/>
          <w:shd w:val="clear" w:color="auto" w:fill="FFFFFF"/>
        </w:rPr>
        <w:t>Про</w:t>
      </w:r>
      <w:r>
        <w:rPr>
          <w:color w:val="202124"/>
          <w:sz w:val="28"/>
          <w:szCs w:val="28"/>
          <w:shd w:val="clear" w:color="auto" w:fill="FFFFFF"/>
        </w:rPr>
        <w:t xml:space="preserve"> доступ до публічної інформації”</w:t>
      </w:r>
      <w:r w:rsidRPr="00DC59D1">
        <w:rPr>
          <w:color w:val="202124"/>
          <w:sz w:val="28"/>
          <w:szCs w:val="28"/>
          <w:shd w:val="clear" w:color="auto" w:fill="FFFFFF"/>
        </w:rPr>
        <w:t>.</w:t>
      </w:r>
    </w:p>
    <w:p w14:paraId="585969AE" w14:textId="77777777" w:rsidR="00D5423F" w:rsidRDefault="00D5423F" w:rsidP="00F10661">
      <w:pPr>
        <w:pStyle w:val="a8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64AFE2F" w14:textId="77777777" w:rsidR="0023657F" w:rsidRPr="004A559A" w:rsidRDefault="0023657F" w:rsidP="001E590B">
      <w:pPr>
        <w:pStyle w:val="a8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59A">
        <w:rPr>
          <w:rFonts w:ascii="Times New Roman" w:hAnsi="Times New Roman" w:cs="Times New Roman"/>
          <w:bCs/>
          <w:sz w:val="24"/>
          <w:szCs w:val="24"/>
        </w:rPr>
        <w:t xml:space="preserve">Відділ звернень громадян та доступу </w:t>
      </w:r>
    </w:p>
    <w:p w14:paraId="73675EAC" w14:textId="77777777" w:rsidR="0023657F" w:rsidRPr="004A559A" w:rsidRDefault="0023657F" w:rsidP="001E590B">
      <w:pPr>
        <w:pStyle w:val="a8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59A">
        <w:rPr>
          <w:rFonts w:ascii="Times New Roman" w:hAnsi="Times New Roman" w:cs="Times New Roman"/>
          <w:bCs/>
          <w:sz w:val="24"/>
          <w:szCs w:val="24"/>
        </w:rPr>
        <w:t xml:space="preserve">до публічної інформації Управління </w:t>
      </w:r>
    </w:p>
    <w:p w14:paraId="45C5E96A" w14:textId="77777777" w:rsidR="0023657F" w:rsidRPr="004A559A" w:rsidRDefault="0023657F" w:rsidP="001E590B">
      <w:pPr>
        <w:pStyle w:val="a8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59A">
        <w:rPr>
          <w:rFonts w:ascii="Times New Roman" w:hAnsi="Times New Roman" w:cs="Times New Roman"/>
          <w:bCs/>
          <w:sz w:val="24"/>
          <w:szCs w:val="24"/>
        </w:rPr>
        <w:t xml:space="preserve">документообігу та звернень громадян </w:t>
      </w:r>
    </w:p>
    <w:p w14:paraId="79381665" w14:textId="5FA7DC93" w:rsidR="001E0711" w:rsidRPr="004A559A" w:rsidRDefault="0023657F" w:rsidP="001E590B">
      <w:pPr>
        <w:pStyle w:val="a8"/>
        <w:ind w:left="56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559A">
        <w:rPr>
          <w:rFonts w:ascii="Times New Roman" w:hAnsi="Times New Roman" w:cs="Times New Roman"/>
          <w:bCs/>
          <w:sz w:val="24"/>
          <w:szCs w:val="24"/>
        </w:rPr>
        <w:t>Міністерства у справах ветеранів України</w:t>
      </w:r>
    </w:p>
    <w:sectPr w:rsidR="001E0711" w:rsidRPr="004A559A" w:rsidSect="001E590B">
      <w:headerReference w:type="default" r:id="rId12"/>
      <w:pgSz w:w="11906" w:h="16838"/>
      <w:pgMar w:top="1134" w:right="566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9CC28" w14:textId="77777777" w:rsidR="00946BA2" w:rsidRDefault="00946BA2" w:rsidP="003F154D">
      <w:pPr>
        <w:spacing w:after="0" w:line="240" w:lineRule="auto"/>
      </w:pPr>
      <w:r>
        <w:separator/>
      </w:r>
    </w:p>
  </w:endnote>
  <w:endnote w:type="continuationSeparator" w:id="0">
    <w:p w14:paraId="6933263A" w14:textId="77777777" w:rsidR="00946BA2" w:rsidRDefault="00946BA2" w:rsidP="003F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34937" w14:textId="77777777" w:rsidR="00946BA2" w:rsidRDefault="00946BA2" w:rsidP="003F154D">
      <w:pPr>
        <w:spacing w:after="0" w:line="240" w:lineRule="auto"/>
      </w:pPr>
      <w:r>
        <w:separator/>
      </w:r>
    </w:p>
  </w:footnote>
  <w:footnote w:type="continuationSeparator" w:id="0">
    <w:p w14:paraId="03714909" w14:textId="77777777" w:rsidR="00946BA2" w:rsidRDefault="00946BA2" w:rsidP="003F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885391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70A96E0" w14:textId="77777777" w:rsidR="003F154D" w:rsidRPr="001E590B" w:rsidRDefault="003F154D">
        <w:pPr>
          <w:pStyle w:val="a9"/>
          <w:jc w:val="center"/>
          <w:rPr>
            <w:rFonts w:ascii="Times New Roman" w:hAnsi="Times New Roman" w:cs="Times New Roman"/>
          </w:rPr>
        </w:pPr>
        <w:r w:rsidRPr="001E590B">
          <w:rPr>
            <w:rFonts w:ascii="Times New Roman" w:hAnsi="Times New Roman" w:cs="Times New Roman"/>
          </w:rPr>
          <w:fldChar w:fldCharType="begin"/>
        </w:r>
        <w:r w:rsidRPr="001E590B">
          <w:rPr>
            <w:rFonts w:ascii="Times New Roman" w:hAnsi="Times New Roman" w:cs="Times New Roman"/>
          </w:rPr>
          <w:instrText>PAGE   \* MERGEFORMAT</w:instrText>
        </w:r>
        <w:r w:rsidRPr="001E590B">
          <w:rPr>
            <w:rFonts w:ascii="Times New Roman" w:hAnsi="Times New Roman" w:cs="Times New Roman"/>
          </w:rPr>
          <w:fldChar w:fldCharType="separate"/>
        </w:r>
        <w:r w:rsidR="0054446C" w:rsidRPr="001E590B">
          <w:rPr>
            <w:rFonts w:ascii="Times New Roman" w:hAnsi="Times New Roman" w:cs="Times New Roman"/>
            <w:noProof/>
            <w:lang w:val="ru-RU"/>
          </w:rPr>
          <w:t>2</w:t>
        </w:r>
        <w:r w:rsidRPr="001E590B">
          <w:rPr>
            <w:rFonts w:ascii="Times New Roman" w:hAnsi="Times New Roman" w:cs="Times New Roman"/>
          </w:rPr>
          <w:fldChar w:fldCharType="end"/>
        </w:r>
      </w:p>
    </w:sdtContent>
  </w:sdt>
  <w:p w14:paraId="2C4ACE8B" w14:textId="77777777" w:rsidR="003F154D" w:rsidRDefault="003F154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9A60F2"/>
    <w:multiLevelType w:val="hybridMultilevel"/>
    <w:tmpl w:val="C7884D32"/>
    <w:lvl w:ilvl="0" w:tplc="A0067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5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518"/>
    <w:rsid w:val="00021067"/>
    <w:rsid w:val="00023C61"/>
    <w:rsid w:val="000741D4"/>
    <w:rsid w:val="00085F9B"/>
    <w:rsid w:val="0008684F"/>
    <w:rsid w:val="000A4B23"/>
    <w:rsid w:val="0010791F"/>
    <w:rsid w:val="00132EAA"/>
    <w:rsid w:val="00135186"/>
    <w:rsid w:val="00137167"/>
    <w:rsid w:val="0013733A"/>
    <w:rsid w:val="00157AE3"/>
    <w:rsid w:val="0018612E"/>
    <w:rsid w:val="001957E4"/>
    <w:rsid w:val="001D231C"/>
    <w:rsid w:val="001E0711"/>
    <w:rsid w:val="001E590B"/>
    <w:rsid w:val="002119ED"/>
    <w:rsid w:val="0023657F"/>
    <w:rsid w:val="002412B7"/>
    <w:rsid w:val="00260B94"/>
    <w:rsid w:val="00263AC8"/>
    <w:rsid w:val="002879A5"/>
    <w:rsid w:val="00287FA7"/>
    <w:rsid w:val="00292D91"/>
    <w:rsid w:val="002B69A5"/>
    <w:rsid w:val="002C57E3"/>
    <w:rsid w:val="002F39EB"/>
    <w:rsid w:val="00362C5E"/>
    <w:rsid w:val="00365A2B"/>
    <w:rsid w:val="003C773E"/>
    <w:rsid w:val="003E3208"/>
    <w:rsid w:val="003E4D54"/>
    <w:rsid w:val="003E5F41"/>
    <w:rsid w:val="003F154D"/>
    <w:rsid w:val="003F77EB"/>
    <w:rsid w:val="00407EBD"/>
    <w:rsid w:val="00431B25"/>
    <w:rsid w:val="004431B0"/>
    <w:rsid w:val="00490C08"/>
    <w:rsid w:val="004A559A"/>
    <w:rsid w:val="004A68E9"/>
    <w:rsid w:val="004C3A5B"/>
    <w:rsid w:val="0051727A"/>
    <w:rsid w:val="0054446C"/>
    <w:rsid w:val="00562490"/>
    <w:rsid w:val="00585C2C"/>
    <w:rsid w:val="005C44BE"/>
    <w:rsid w:val="00611434"/>
    <w:rsid w:val="00620D65"/>
    <w:rsid w:val="00647332"/>
    <w:rsid w:val="006711FB"/>
    <w:rsid w:val="006D13AA"/>
    <w:rsid w:val="006E1642"/>
    <w:rsid w:val="006E7374"/>
    <w:rsid w:val="0072379C"/>
    <w:rsid w:val="00730225"/>
    <w:rsid w:val="00770C97"/>
    <w:rsid w:val="007B70B7"/>
    <w:rsid w:val="007D4D8E"/>
    <w:rsid w:val="007F5710"/>
    <w:rsid w:val="00803D7C"/>
    <w:rsid w:val="0081529C"/>
    <w:rsid w:val="00842EA2"/>
    <w:rsid w:val="008513E6"/>
    <w:rsid w:val="00880503"/>
    <w:rsid w:val="00884EDE"/>
    <w:rsid w:val="008944B8"/>
    <w:rsid w:val="00895969"/>
    <w:rsid w:val="008A65E4"/>
    <w:rsid w:val="008D532B"/>
    <w:rsid w:val="00900A7D"/>
    <w:rsid w:val="00931B72"/>
    <w:rsid w:val="00946BA2"/>
    <w:rsid w:val="009724BD"/>
    <w:rsid w:val="009A35E9"/>
    <w:rsid w:val="009B1849"/>
    <w:rsid w:val="009B7FD9"/>
    <w:rsid w:val="009E0962"/>
    <w:rsid w:val="00A306FC"/>
    <w:rsid w:val="00A75534"/>
    <w:rsid w:val="00AF2FDC"/>
    <w:rsid w:val="00B04EF2"/>
    <w:rsid w:val="00B829BC"/>
    <w:rsid w:val="00B95984"/>
    <w:rsid w:val="00BB659D"/>
    <w:rsid w:val="00BD2CE7"/>
    <w:rsid w:val="00BE6E15"/>
    <w:rsid w:val="00BF5839"/>
    <w:rsid w:val="00C1777E"/>
    <w:rsid w:val="00C36A7E"/>
    <w:rsid w:val="00C575D9"/>
    <w:rsid w:val="00C85C68"/>
    <w:rsid w:val="00C87B16"/>
    <w:rsid w:val="00CE1004"/>
    <w:rsid w:val="00D10076"/>
    <w:rsid w:val="00D14EC0"/>
    <w:rsid w:val="00D32D8D"/>
    <w:rsid w:val="00D5423F"/>
    <w:rsid w:val="00DB4735"/>
    <w:rsid w:val="00DC59D1"/>
    <w:rsid w:val="00DE7AFB"/>
    <w:rsid w:val="00DF7DC1"/>
    <w:rsid w:val="00E31A41"/>
    <w:rsid w:val="00E31BC6"/>
    <w:rsid w:val="00E451D4"/>
    <w:rsid w:val="00E50564"/>
    <w:rsid w:val="00E82314"/>
    <w:rsid w:val="00E82653"/>
    <w:rsid w:val="00EA3B5D"/>
    <w:rsid w:val="00EC3855"/>
    <w:rsid w:val="00F10661"/>
    <w:rsid w:val="00F115EC"/>
    <w:rsid w:val="00F65DBF"/>
    <w:rsid w:val="00F84247"/>
    <w:rsid w:val="00FA2595"/>
    <w:rsid w:val="00FD4518"/>
    <w:rsid w:val="00FE0CED"/>
    <w:rsid w:val="00FE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088D"/>
  <w15:chartTrackingRefBased/>
  <w15:docId w15:val="{BF056A10-A91D-4D13-80CC-33ECA8489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1067"/>
    <w:rPr>
      <w:b/>
      <w:bCs/>
    </w:rPr>
  </w:style>
  <w:style w:type="paragraph" w:styleId="a4">
    <w:name w:val="Normal (Web)"/>
    <w:basedOn w:val="a"/>
    <w:uiPriority w:val="99"/>
    <w:semiHidden/>
    <w:unhideWhenUsed/>
    <w:rsid w:val="00021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021067"/>
    <w:rPr>
      <w:i/>
      <w:iCs/>
    </w:rPr>
  </w:style>
  <w:style w:type="character" w:styleId="a6">
    <w:name w:val="Hyperlink"/>
    <w:basedOn w:val="a0"/>
    <w:uiPriority w:val="99"/>
    <w:semiHidden/>
    <w:unhideWhenUsed/>
    <w:rsid w:val="00021067"/>
    <w:rPr>
      <w:color w:val="0000FF"/>
      <w:u w:val="single"/>
    </w:rPr>
  </w:style>
  <w:style w:type="table" w:styleId="a7">
    <w:name w:val="Table Grid"/>
    <w:basedOn w:val="a1"/>
    <w:uiPriority w:val="39"/>
    <w:rsid w:val="00BD2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5423F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3F15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3F154D"/>
  </w:style>
  <w:style w:type="paragraph" w:styleId="ab">
    <w:name w:val="footer"/>
    <w:basedOn w:val="a"/>
    <w:link w:val="ac"/>
    <w:uiPriority w:val="99"/>
    <w:unhideWhenUsed/>
    <w:rsid w:val="003F154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3F154D"/>
  </w:style>
  <w:style w:type="paragraph" w:styleId="ad">
    <w:name w:val="List Paragraph"/>
    <w:basedOn w:val="a"/>
    <w:uiPriority w:val="34"/>
    <w:qFormat/>
    <w:rsid w:val="00D10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2128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uk-UA" sz="1400" dirty="0">
                <a:solidFill>
                  <a:schemeClr val="tx1"/>
                </a:solidFill>
                <a:latin typeface="+mn-lt"/>
              </a:rPr>
              <a:t>ДИНАМІКА НАДХОДЖЕННЯ</a:t>
            </a:r>
            <a:r>
              <a:rPr lang="uk-UA" sz="1400" baseline="0" dirty="0">
                <a:solidFill>
                  <a:schemeClr val="tx1"/>
                </a:solidFill>
                <a:latin typeface="+mn-lt"/>
              </a:rPr>
              <a:t> ЗАПИТІВ </a:t>
            </a:r>
            <a:br>
              <a:rPr lang="uk-UA" sz="1400" baseline="0" dirty="0">
                <a:solidFill>
                  <a:schemeClr val="tx1"/>
                </a:solidFill>
                <a:latin typeface="+mn-lt"/>
              </a:rPr>
            </a:br>
            <a:r>
              <a:rPr lang="uk-UA" sz="1400" baseline="0" dirty="0">
                <a:solidFill>
                  <a:schemeClr val="tx1"/>
                </a:solidFill>
                <a:latin typeface="+mn-lt"/>
              </a:rPr>
              <a:t>НА ІНФОРМАЦІЮ</a:t>
            </a:r>
            <a:endParaRPr lang="uk-UA" sz="1400" dirty="0">
              <a:solidFill>
                <a:schemeClr val="tx1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3056676336510567"/>
          <c:y val="1.843275029882843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128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 w="25400">
          <a:noFill/>
        </a:ln>
        <a:effectLst/>
        <a:sp3d/>
      </c:spPr>
    </c:sideWall>
    <c:backWall>
      <c:thickness val="0"/>
      <c:spPr>
        <a:noFill/>
        <a:ln w="25400"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6 міс. 2024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tint val="96000"/>
                    <a:lumMod val="100000"/>
                  </a:schemeClr>
                </a:gs>
                <a:gs pos="78000">
                  <a:schemeClr val="accent1">
                    <a:shade val="94000"/>
                    <a:lumMod val="94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38100" dist="25400" dir="5400000" rotWithShape="0">
                <a:srgbClr val="000000">
                  <a:alpha val="35000"/>
                </a:srgbClr>
              </a:outerShdw>
            </a:effectLst>
            <a:sp3d/>
          </c:spPr>
          <c:invertIfNegative val="0"/>
          <c:dLbls>
            <c:dLbl>
              <c:idx val="0"/>
              <c:layout>
                <c:manualLayout>
                  <c:x val="6.7385444743935314E-3"/>
                  <c:y val="-4.9447832536673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155-4607-B5AF-65E971A7B06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</c:f>
              <c:strCache>
                <c:ptCount val="1"/>
                <c:pt idx="0">
                  <c:v>Період надходження</c:v>
                </c:pt>
              </c:strCache>
            </c:strRef>
          </c:cat>
          <c:val>
            <c:numRef>
              <c:f>Лист1!$B$3</c:f>
              <c:numCache>
                <c:formatCode>General</c:formatCode>
                <c:ptCount val="1"/>
                <c:pt idx="0">
                  <c:v>268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55-4607-B5AF-65E971A7B064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6 міс. 2025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4.2105263157894736E-2"/>
                  <c:y val="-8.57095763969012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A95-4843-AE55-5C5C8E60945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Лист1!$A$3</c:f>
              <c:strCache>
                <c:ptCount val="1"/>
                <c:pt idx="0">
                  <c:v>Період надходження</c:v>
                </c:pt>
              </c:strCache>
            </c:strRef>
          </c:cat>
          <c:val>
            <c:numRef>
              <c:f>Лист1!$C$3</c:f>
              <c:numCache>
                <c:formatCode>General</c:formatCode>
                <c:ptCount val="1"/>
                <c:pt idx="0">
                  <c:v>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55-4607-B5AF-65E971A7B06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258201840"/>
        <c:axId val="1258193136"/>
        <c:axId val="0"/>
      </c:bar3DChart>
      <c:catAx>
        <c:axId val="1258201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258193136"/>
        <c:crosses val="autoZero"/>
        <c:auto val="1"/>
        <c:lblAlgn val="ctr"/>
        <c:lblOffset val="100"/>
        <c:noMultiLvlLbl val="0"/>
      </c:catAx>
      <c:valAx>
        <c:axId val="12581931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258201840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>
                <a:solidFill>
                  <a:schemeClr val="tx1"/>
                </a:solidFill>
                <a:latin typeface="+mn-lt"/>
              </a:rPr>
              <a:t>КАНАЛ</a:t>
            </a:r>
            <a:r>
              <a:rPr lang="uk-UA" sz="1400" b="1" baseline="0">
                <a:solidFill>
                  <a:schemeClr val="tx1"/>
                </a:solidFill>
                <a:latin typeface="+mn-lt"/>
              </a:rPr>
              <a:t> НАДХОДЖЕННЯ ЗАПИТІВ</a:t>
            </a:r>
          </a:p>
          <a:p>
            <a:pPr algn="ctr">
              <a:defRPr/>
            </a:pPr>
            <a:r>
              <a:rPr lang="uk-UA" sz="1400" b="1" baseline="0">
                <a:solidFill>
                  <a:schemeClr val="tx1"/>
                </a:solidFill>
                <a:latin typeface="+mn-lt"/>
              </a:rPr>
              <a:t>НА ІНФОРМАЦІЮ</a:t>
            </a:r>
            <a:endParaRPr lang="uk-UA" sz="1400" b="1">
              <a:solidFill>
                <a:schemeClr val="tx1"/>
              </a:solidFill>
              <a:latin typeface="+mn-lt"/>
            </a:endParaRPr>
          </a:p>
        </c:rich>
      </c:tx>
      <c:layout>
        <c:manualLayout>
          <c:xMode val="edge"/>
          <c:yMode val="edge"/>
          <c:x val="0.12143651535083537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Канал надходження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6E4-44E3-862F-FDFFB518219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76E4-44E3-862F-FDFFB518219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EBD-4D54-9460-C949096346A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6E4-44E3-862F-FDFFB5182195}"/>
              </c:ext>
            </c:extLst>
          </c:dPt>
          <c:dLbls>
            <c:dLbl>
              <c:idx val="0"/>
              <c:layout>
                <c:manualLayout>
                  <c:x val="1.5286945514789374E-2"/>
                  <c:y val="-0.27021761842876429"/>
                </c:manualLayout>
              </c:layout>
              <c:tx>
                <c:rich>
                  <a:bodyPr/>
                  <a:lstStyle/>
                  <a:p>
                    <a:fld id="{E35F08C4-28FF-459A-B598-562068105A1B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
77%</a:t>
                    </a:r>
                  </a:p>
                  <a:p>
                    <a:endParaRPr lang="uk-UA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430185633575465"/>
                      <c:h val="0.2326324368378158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6E4-44E3-862F-FDFFB5182195}"/>
                </c:ext>
              </c:extLst>
            </c:dLbl>
            <c:dLbl>
              <c:idx val="1"/>
              <c:layout>
                <c:manualLayout>
                  <c:x val="-9.2133664014889712E-3"/>
                  <c:y val="-3.37121033523504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3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sz="1300" baseline="0"/>
                      <a:t>Особисто
2%</a:t>
                    </a:r>
                    <a:endParaRPr lang="uk-UA" sz="130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3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6E4-44E3-862F-FDFFB5182195}"/>
                </c:ext>
              </c:extLst>
            </c:dLbl>
            <c:dLbl>
              <c:idx val="2"/>
              <c:layout>
                <c:manualLayout>
                  <c:x val="7.7913995690297708E-2"/>
                  <c:y val="7.0546466122872326E-2"/>
                </c:manualLayout>
              </c:layout>
              <c:tx>
                <c:rich>
                  <a:bodyPr/>
                  <a:lstStyle/>
                  <a:p>
                    <a:fld id="{F49221B3-B8C9-4DD2-BDD2-EC90330FA5A3}" type="CATEGORYNAME">
                      <a:rPr lang="uk-UA"/>
                      <a:pPr/>
                      <a:t>[ІМ’Я КАТЕГОРІЇ]</a:t>
                    </a:fld>
                    <a:r>
                      <a:rPr lang="uk-UA" baseline="0"/>
                      <a:t>
18%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EBD-4D54-9460-C949096346A8}"/>
                </c:ext>
              </c:extLst>
            </c:dLbl>
            <c:dLbl>
              <c:idx val="3"/>
              <c:layout>
                <c:manualLayout>
                  <c:x val="0.18102485296081586"/>
                  <c:y val="2.558208222642852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200" b="1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uk-UA" baseline="0"/>
                      <a:t>Поштою
</a:t>
                    </a:r>
                    <a:fld id="{39310D03-2171-4591-BF38-BF488CFE9594}" type="PERCENTAGE">
                      <a:rPr lang="en-US" baseline="0"/>
                      <a:pPr>
                        <a:defRPr sz="1200" b="1"/>
                      </a:pPr>
                      <a:t>[ВІДСОТОК]</a:t>
                    </a:fld>
                    <a:endParaRPr lang="uk-UA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2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5638409560507064"/>
                      <c:h val="0.2610615906021455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6E4-44E3-862F-FDFFB518219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Електронна пошта</c:v>
                </c:pt>
                <c:pt idx="1">
                  <c:v>Пошта</c:v>
                </c:pt>
                <c:pt idx="2">
                  <c:v>СЕВ</c:v>
                </c:pt>
                <c:pt idx="3">
                  <c:v>Особисто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203</c:v>
                </c:pt>
                <c:pt idx="1">
                  <c:v>7</c:v>
                </c:pt>
                <c:pt idx="2">
                  <c:v>56</c:v>
                </c:pt>
                <c:pt idx="3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E4-44E3-862F-FDFFB518219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>
                <a:solidFill>
                  <a:sysClr val="windowText" lastClr="000000"/>
                </a:solidFill>
              </a:rPr>
              <a:t>ПОРІВНЯЛЬНИЙ АНАЛІЗ НАДХОДЖЕННЯ ЗАПИТІВ ЕЛЕКТРОННОЮ ПОШТОЮ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червень</c:v>
                </c:pt>
                <c:pt idx="1">
                  <c:v>травень</c:v>
                </c:pt>
                <c:pt idx="2">
                  <c:v>квітень</c:v>
                </c:pt>
                <c:pt idx="3">
                  <c:v>березень</c:v>
                </c:pt>
                <c:pt idx="4">
                  <c:v>лютий</c:v>
                </c:pt>
                <c:pt idx="5">
                  <c:v>січень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38</c:v>
                </c:pt>
                <c:pt idx="1">
                  <c:v>35</c:v>
                </c:pt>
                <c:pt idx="2">
                  <c:v>54</c:v>
                </c:pt>
                <c:pt idx="3">
                  <c:v>23</c:v>
                </c:pt>
                <c:pt idx="4">
                  <c:v>25</c:v>
                </c:pt>
                <c:pt idx="5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F8-45F1-A8C2-77D24D9CCCE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2025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Лист1!$A$2:$A$7</c:f>
              <c:strCache>
                <c:ptCount val="6"/>
                <c:pt idx="0">
                  <c:v>червень</c:v>
                </c:pt>
                <c:pt idx="1">
                  <c:v>травень</c:v>
                </c:pt>
                <c:pt idx="2">
                  <c:v>квітень</c:v>
                </c:pt>
                <c:pt idx="3">
                  <c:v>березень</c:v>
                </c:pt>
                <c:pt idx="4">
                  <c:v>лютий</c:v>
                </c:pt>
                <c:pt idx="5">
                  <c:v>січень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32</c:v>
                </c:pt>
                <c:pt idx="1">
                  <c:v>54</c:v>
                </c:pt>
                <c:pt idx="2">
                  <c:v>40</c:v>
                </c:pt>
                <c:pt idx="3">
                  <c:v>25</c:v>
                </c:pt>
                <c:pt idx="4">
                  <c:v>36</c:v>
                </c:pt>
                <c:pt idx="5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F8-45F1-A8C2-77D24D9CCC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1575945807"/>
        <c:axId val="1575950799"/>
      </c:barChart>
      <c:catAx>
        <c:axId val="157594580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75950799"/>
        <c:crosses val="autoZero"/>
        <c:auto val="1"/>
        <c:lblAlgn val="ctr"/>
        <c:lblOffset val="100"/>
        <c:noMultiLvlLbl val="0"/>
      </c:catAx>
      <c:valAx>
        <c:axId val="1575950799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57594580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uk-UA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>
                <a:solidFill>
                  <a:sysClr val="windowText" lastClr="000000"/>
                </a:solidFill>
              </a:rPr>
              <a:t>РОЗПОДІЛ</a:t>
            </a:r>
            <a:r>
              <a:rPr lang="uk-UA" sz="1400" b="1" baseline="0">
                <a:solidFill>
                  <a:sysClr val="windowText" lastClr="000000"/>
                </a:solidFill>
              </a:rPr>
              <a:t> ЗА ВИКОНАВЦЯМИ</a:t>
            </a:r>
            <a:endParaRPr lang="uk-UA" sz="1400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EF95-4D9D-A743-436867E15B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EF95-4D9D-A743-436867E15B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EF95-4D9D-A743-436867E15BA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EF95-4D9D-A743-436867E15B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EF95-4D9D-A743-436867E15BA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EF95-4D9D-A743-436867E15BA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8A1-4FB6-AA08-2185A3AA23BF}"/>
              </c:ext>
            </c:extLst>
          </c:dPt>
          <c:dLbls>
            <c:dLbl>
              <c:idx val="0"/>
              <c:layout>
                <c:manualLayout>
                  <c:x val="-7.8656479821210545E-2"/>
                  <c:y val="-0.1130022208762366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F95-4D9D-A743-436867E15BAF}"/>
                </c:ext>
              </c:extLst>
            </c:dLbl>
            <c:dLbl>
              <c:idx val="1"/>
              <c:layout>
                <c:manualLayout>
                  <c:x val="-1.92836720152249E-4"/>
                  <c:y val="-2.47791781445276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uk-UA"/>
                </a:p>
              </c:txPr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465355196937019"/>
                      <c:h val="0.1584326959130108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EF95-4D9D-A743-436867E15BAF}"/>
                </c:ext>
              </c:extLst>
            </c:dLbl>
            <c:dLbl>
              <c:idx val="2"/>
              <c:layout>
                <c:manualLayout>
                  <c:x val="-8.4628618881045531E-2"/>
                  <c:y val="-3.6129544371969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111038955182143"/>
                      <c:h val="0.142678790538179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EF95-4D9D-A743-436867E15BAF}"/>
                </c:ext>
              </c:extLst>
            </c:dLbl>
            <c:dLbl>
              <c:idx val="3"/>
              <c:layout>
                <c:manualLayout>
                  <c:x val="-4.6370070077873929E-2"/>
                  <c:y val="-3.1805399325084364E-3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F95-4D9D-A743-436867E15BAF}"/>
                </c:ext>
              </c:extLst>
            </c:dLbl>
            <c:dLbl>
              <c:idx val="4"/>
              <c:layout>
                <c:manualLayout>
                  <c:x val="1.6621118236509096E-3"/>
                  <c:y val="-0.17332553245085849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F95-4D9D-A743-436867E15BAF}"/>
                </c:ext>
              </c:extLst>
            </c:dLbl>
            <c:dLbl>
              <c:idx val="5"/>
              <c:layout>
                <c:manualLayout>
                  <c:x val="0.17357505569535764"/>
                  <c:y val="-3.7513143674378163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171812286350806"/>
                      <c:h val="0.1484212151499638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EF95-4D9D-A743-436867E15B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6"/>
                <c:pt idx="0">
                  <c:v>Департамент соціальної політики</c:v>
                </c:pt>
                <c:pt idx="1">
                  <c:v>Управління ветеранської освіти та бізнесу</c:v>
                </c:pt>
                <c:pt idx="2">
                  <c:v>Управління фізичного та ментального здоров"я</c:v>
                </c:pt>
                <c:pt idx="3">
                  <c:v>Управління вшанування та увічнення</c:v>
                </c:pt>
                <c:pt idx="4">
                  <c:v>Департамент цифрового розвитку та трансформації</c:v>
                </c:pt>
                <c:pt idx="5">
                  <c:v>Апарат Мінветеранів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93</c:v>
                </c:pt>
                <c:pt idx="1">
                  <c:v>27</c:v>
                </c:pt>
                <c:pt idx="2">
                  <c:v>25</c:v>
                </c:pt>
                <c:pt idx="3">
                  <c:v>13</c:v>
                </c:pt>
                <c:pt idx="4">
                  <c:v>70</c:v>
                </c:pt>
                <c:pt idx="5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D1-4C18-AA96-76575EB84A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uk-UA" sz="1400" b="1" dirty="0">
                <a:solidFill>
                  <a:schemeClr val="tx1"/>
                </a:solidFill>
                <a:latin typeface="+mn-lt"/>
              </a:rPr>
              <a:t>РЕЗУЛЬТАТ РОЗГЛЯДУ ЗАПИТІВ НА ІНФОРМАЦІЮ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uk-UA"/>
        </a:p>
      </c:txPr>
    </c:title>
    <c:autoTitleDeleted val="0"/>
    <c:plotArea>
      <c:layout>
        <c:manualLayout>
          <c:layoutTarget val="inner"/>
          <c:xMode val="edge"/>
          <c:yMode val="edge"/>
          <c:x val="0.2289090009758967"/>
          <c:y val="0.31348179495184247"/>
          <c:w val="0.52859965509404705"/>
          <c:h val="0.68578237191716673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 РОЗГЛЯДУ ЗВЕРНЕНЬ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9C4-442B-942C-DD8F794D5D9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9C4-442B-942C-DD8F794D5D9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9C4-442B-942C-DD8F794D5D9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9C4-442B-942C-DD8F794D5D93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9C4-442B-942C-DD8F794D5D93}"/>
              </c:ext>
            </c:extLst>
          </c:dPt>
          <c:dLbls>
            <c:dLbl>
              <c:idx val="0"/>
              <c:layout>
                <c:manualLayout>
                  <c:x val="0.25599944219496285"/>
                  <c:y val="-0.14203262566862687"/>
                </c:manualLayout>
              </c:layout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69C4-442B-942C-DD8F794D5D93}"/>
                </c:ext>
              </c:extLst>
            </c:dLbl>
            <c:dLbl>
              <c:idx val="1"/>
              <c:layout>
                <c:manualLayout>
                  <c:x val="-0.29038459451531906"/>
                  <c:y val="7.0745428485410766E-2"/>
                </c:manualLayout>
              </c:layout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700254498548213"/>
                      <c:h val="0.276485929765108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69C4-442B-942C-DD8F794D5D93}"/>
                </c:ext>
              </c:extLst>
            </c:dLbl>
            <c:dLbl>
              <c:idx val="2"/>
              <c:layout>
                <c:manualLayout>
                  <c:x val="-8.9759858449066449E-2"/>
                  <c:y val="-9.697492714704059E-2"/>
                </c:manualLayout>
              </c:layout>
              <c:spPr>
                <a:solidFill>
                  <a:prstClr val="white"/>
                </a:solidFill>
                <a:ln>
                  <a:solidFill>
                    <a:prstClr val="black">
                      <a:lumMod val="25000"/>
                      <a:lumOff val="75000"/>
                    </a:prst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97" b="0" i="0" u="none" strike="noStrike" kern="1200" baseline="0">
                      <a:solidFill>
                        <a:schemeClr val="tx1"/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uk-UA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69C4-442B-942C-DD8F794D5D93}"/>
                </c:ext>
              </c:extLst>
            </c:dLbl>
            <c:dLbl>
              <c:idx val="3"/>
              <c:layout>
                <c:manualLayout>
                  <c:x val="0.13160969257927727"/>
                  <c:y val="-9.006287420335222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9C4-442B-942C-DD8F794D5D93}"/>
                </c:ext>
              </c:extLst>
            </c:dLbl>
            <c:dLbl>
              <c:idx val="4"/>
              <c:layout>
                <c:manualLayout>
                  <c:x val="-0.18009610337169393"/>
                  <c:y val="-7.031249567467423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9C4-442B-942C-DD8F794D5D93}"/>
                </c:ext>
              </c:extLst>
            </c:dLbl>
            <c:spPr>
              <a:solidFill>
                <a:prstClr val="white"/>
              </a:solidFill>
              <a:ln>
                <a:solidFill>
                  <a:prstClr val="black">
                    <a:lumMod val="25000"/>
                    <a:lumOff val="75000"/>
                  </a:prst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uk-UA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Лист1!$A$2:$A$6</c:f>
              <c:strCache>
                <c:ptCount val="3"/>
                <c:pt idx="0">
                  <c:v>Задоволено</c:v>
                </c:pt>
                <c:pt idx="1">
                  <c:v>Відмовлено</c:v>
                </c:pt>
                <c:pt idx="2">
                  <c:v>Переслано за належністю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235</c:v>
                </c:pt>
                <c:pt idx="1">
                  <c:v>18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9C4-442B-942C-DD8F794D5D9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75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uk-UA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0">
  <cs:axisTitle>
    <cs:lnRef idx="0"/>
    <cs:fillRef idx="0"/>
    <cs:effectRef idx="0"/>
    <cs:fontRef idx="minor">
      <a:schemeClr val="tx2"/>
    </cs:fontRef>
    <cs:defRPr sz="1197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2"/>
    </cs:fontRef>
    <cs:defRPr sz="1197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1197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2128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1197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1197" kern="1200"/>
  </cs:valueAxis>
  <cs:wall>
    <cs:lnRef idx="0"/>
    <cs:fillRef idx="0"/>
    <cs:effectRef idx="0"/>
    <cs:fontRef idx="minor">
      <a:schemeClr val="tx2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0.36615</cdr:x>
      <cdr:y>0.51215</cdr:y>
    </cdr:from>
    <cdr:to>
      <cdr:x>0.64462</cdr:x>
      <cdr:y>0.72468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837954" y="1541519"/>
          <a:ext cx="1397829" cy="6397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uk-UA" sz="2800" b="1" dirty="0">
              <a:latin typeface="Arial Black" panose="020B0A04020102020204" pitchFamily="34" charset="0"/>
            </a:rPr>
            <a:t>282</a:t>
          </a:r>
        </a:p>
        <a:p xmlns:a="http://schemas.openxmlformats.org/drawingml/2006/main">
          <a:pPr algn="ctr"/>
          <a:endParaRPr lang="uk-UA" sz="3600" b="1" dirty="0">
            <a:latin typeface="Arial Black" panose="020B0A04020102020204" pitchFamily="34" charset="0"/>
          </a:endParaRPr>
        </a:p>
        <a:p xmlns:a="http://schemas.openxmlformats.org/drawingml/2006/main">
          <a:pPr algn="ctr"/>
          <a:endParaRPr lang="uk-UA" sz="3600" b="1" dirty="0">
            <a:latin typeface="Arial Black" panose="020B0A040201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2841</Words>
  <Characters>1620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Балицька Галина Степанівна</dc:creator>
  <cp:keywords/>
  <dc:description/>
  <cp:lastModifiedBy>Аврамова Юлія Іванівна</cp:lastModifiedBy>
  <cp:revision>6</cp:revision>
  <dcterms:created xsi:type="dcterms:W3CDTF">2025-07-02T08:37:00Z</dcterms:created>
  <dcterms:modified xsi:type="dcterms:W3CDTF">2025-07-14T11:49:00Z</dcterms:modified>
</cp:coreProperties>
</file>