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455D" w14:textId="77777777" w:rsidR="008D26C9" w:rsidRPr="0083187F" w:rsidRDefault="008D26C9" w:rsidP="00DE51DC">
      <w:pPr>
        <w:spacing w:after="0" w:line="240" w:lineRule="auto"/>
        <w:jc w:val="center"/>
        <w:rPr>
          <w:rFonts w:ascii="Times New Roman" w:eastAsia="Lucida Sans Unicode" w:hAnsi="Times New Roman" w:cs="Tahoma"/>
          <w:b/>
          <w:sz w:val="28"/>
          <w:szCs w:val="28"/>
          <w:lang w:val="uk-UA"/>
        </w:rPr>
      </w:pPr>
      <w:r w:rsidRPr="005F15C9">
        <w:rPr>
          <w:rFonts w:ascii="Times New Roman" w:eastAsia="Lucida Sans Unicode" w:hAnsi="Times New Roman" w:cs="Tahoma"/>
          <w:b/>
          <w:sz w:val="28"/>
          <w:szCs w:val="28"/>
          <w:lang w:val="uk-UA"/>
        </w:rPr>
        <w:t xml:space="preserve">ПОЯСНЮВАЛЬНА </w:t>
      </w:r>
      <w:r w:rsidRPr="0083187F">
        <w:rPr>
          <w:rFonts w:ascii="Times New Roman" w:eastAsia="Lucida Sans Unicode" w:hAnsi="Times New Roman" w:cs="Tahoma"/>
          <w:b/>
          <w:sz w:val="28"/>
          <w:szCs w:val="28"/>
          <w:lang w:val="uk-UA"/>
        </w:rPr>
        <w:t>ЗАПИСКА</w:t>
      </w:r>
    </w:p>
    <w:p w14:paraId="50519F93" w14:textId="77777777" w:rsidR="00B473E3" w:rsidRPr="0083187F" w:rsidRDefault="008D26C9" w:rsidP="00DE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87F">
        <w:rPr>
          <w:rFonts w:ascii="Times New Roman" w:eastAsia="Lucida Sans Unicode" w:hAnsi="Times New Roman"/>
          <w:b/>
          <w:sz w:val="28"/>
          <w:szCs w:val="28"/>
          <w:lang w:val="uk-UA"/>
        </w:rPr>
        <w:t xml:space="preserve">до </w:t>
      </w:r>
      <w:r w:rsidRPr="0083187F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6611A" w:rsidRPr="0083187F">
        <w:rPr>
          <w:rFonts w:ascii="Times New Roman" w:hAnsi="Times New Roman"/>
          <w:b/>
          <w:sz w:val="28"/>
          <w:szCs w:val="28"/>
          <w:lang w:val="uk-UA"/>
        </w:rPr>
        <w:t>є</w:t>
      </w:r>
      <w:r w:rsidRPr="0083187F">
        <w:rPr>
          <w:rFonts w:ascii="Times New Roman" w:hAnsi="Times New Roman"/>
          <w:b/>
          <w:sz w:val="28"/>
          <w:szCs w:val="28"/>
          <w:lang w:val="uk-UA"/>
        </w:rPr>
        <w:t xml:space="preserve">кту </w:t>
      </w:r>
      <w:r w:rsidR="00063344" w:rsidRPr="0083187F">
        <w:rPr>
          <w:rFonts w:ascii="Times New Roman" w:hAnsi="Times New Roman"/>
          <w:b/>
          <w:sz w:val="28"/>
          <w:szCs w:val="28"/>
          <w:lang w:val="uk-UA"/>
        </w:rPr>
        <w:t xml:space="preserve">Указу Президента </w:t>
      </w:r>
      <w:r w:rsidR="00563457" w:rsidRPr="0083187F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14:paraId="0EE5D13C" w14:textId="77777777" w:rsidR="00B42090" w:rsidRDefault="00B473E3" w:rsidP="00DE51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3187F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83187F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Про запровадження </w:t>
      </w:r>
      <w:r w:rsidR="00A36D9C" w:rsidRPr="0083187F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щорічного </w:t>
      </w:r>
      <w:r w:rsidRPr="0083187F">
        <w:rPr>
          <w:rFonts w:ascii="Times New Roman" w:hAnsi="Times New Roman"/>
          <w:b/>
          <w:bCs/>
          <w:sz w:val="28"/>
          <w:szCs w:val="28"/>
          <w:lang w:val="uk-UA"/>
        </w:rPr>
        <w:t>Національного рейтингу</w:t>
      </w:r>
      <w:r w:rsidR="00CF626D" w:rsidRPr="0083187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99A4822" w14:textId="261BADC3" w:rsidR="00B473E3" w:rsidRPr="0083187F" w:rsidRDefault="00CF626D" w:rsidP="00DE51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187F">
        <w:rPr>
          <w:rFonts w:ascii="Times New Roman" w:hAnsi="Times New Roman"/>
          <w:b/>
          <w:bCs/>
          <w:sz w:val="28"/>
          <w:szCs w:val="28"/>
        </w:rPr>
        <w:t>“</w:t>
      </w:r>
      <w:r w:rsidR="00B473E3" w:rsidRPr="0083187F">
        <w:rPr>
          <w:rFonts w:ascii="Times New Roman" w:hAnsi="Times New Roman"/>
          <w:b/>
          <w:bCs/>
          <w:sz w:val="28"/>
          <w:szCs w:val="28"/>
          <w:lang w:val="uk-UA"/>
        </w:rPr>
        <w:t>Роботодавець ветеранів</w:t>
      </w:r>
      <w:r w:rsidR="00F43D45" w:rsidRPr="0083187F">
        <w:rPr>
          <w:rFonts w:ascii="Times New Roman" w:hAnsi="Times New Roman"/>
          <w:b/>
          <w:sz w:val="28"/>
          <w:szCs w:val="28"/>
        </w:rPr>
        <w:t>”</w:t>
      </w:r>
    </w:p>
    <w:p w14:paraId="3C466543" w14:textId="37BA819B" w:rsidR="00082888" w:rsidRPr="0083187F" w:rsidRDefault="00215B99" w:rsidP="00DE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73E3" w:rsidRPr="008318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BCB2569" w14:textId="77777777" w:rsidR="00B71F4F" w:rsidRPr="0083187F" w:rsidRDefault="00B71F4F" w:rsidP="00DE51DC">
      <w:pPr>
        <w:pStyle w:val="3"/>
        <w:numPr>
          <w:ilvl w:val="0"/>
          <w:numId w:val="1"/>
        </w:numPr>
        <w:tabs>
          <w:tab w:val="left" w:pos="91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3187F">
        <w:rPr>
          <w:color w:val="000000" w:themeColor="text1"/>
          <w:sz w:val="28"/>
          <w:szCs w:val="28"/>
          <w:lang w:val="uk-UA"/>
        </w:rPr>
        <w:t>Мета</w:t>
      </w:r>
    </w:p>
    <w:p w14:paraId="68E73C0E" w14:textId="1C3C2295" w:rsidR="00095891" w:rsidRPr="0083187F" w:rsidRDefault="00095891" w:rsidP="00DE51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 xml:space="preserve">Проєкт акта розроблено з метою створення системи визнання та заохочення </w:t>
      </w:r>
      <w:r w:rsidR="00970571" w:rsidRPr="0083187F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Pr="0083187F">
        <w:rPr>
          <w:rFonts w:ascii="Times New Roman" w:hAnsi="Times New Roman"/>
          <w:sz w:val="28"/>
          <w:szCs w:val="28"/>
          <w:lang w:val="uk-UA"/>
        </w:rPr>
        <w:t>, що активно</w:t>
      </w:r>
      <w:r w:rsidR="00CF626D" w:rsidRPr="0083187F">
        <w:rPr>
          <w:rFonts w:ascii="Times New Roman" w:hAnsi="Times New Roman"/>
          <w:sz w:val="28"/>
          <w:szCs w:val="28"/>
          <w:lang w:val="uk-UA"/>
        </w:rPr>
        <w:t xml:space="preserve"> сприяють працевлаштуванню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ветеранів війни, </w:t>
      </w:r>
      <w:bookmarkStart w:id="0" w:name="_Hlk180573299"/>
      <w:r w:rsidR="00CF626D" w:rsidRPr="0083187F">
        <w:rPr>
          <w:rFonts w:ascii="Times New Roman" w:hAnsi="Times New Roman"/>
          <w:sz w:val="28"/>
          <w:szCs w:val="28"/>
          <w:lang w:val="uk-UA"/>
        </w:rPr>
        <w:t xml:space="preserve">підтримують </w:t>
      </w:r>
      <w:r w:rsidRPr="0083187F">
        <w:rPr>
          <w:rFonts w:ascii="Times New Roman" w:hAnsi="Times New Roman"/>
          <w:sz w:val="28"/>
          <w:szCs w:val="28"/>
          <w:lang w:val="uk-UA"/>
        </w:rPr>
        <w:t>членів їх сімей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>,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 xml:space="preserve">членів 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сімей загиблих Захисників 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>та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Захисниць України</w:t>
      </w:r>
      <w:bookmarkEnd w:id="0"/>
      <w:r w:rsidR="00EE4E4F" w:rsidRPr="0083187F">
        <w:rPr>
          <w:rFonts w:ascii="Times New Roman" w:hAnsi="Times New Roman"/>
          <w:sz w:val="28"/>
          <w:szCs w:val="28"/>
          <w:lang w:val="uk-UA"/>
        </w:rPr>
        <w:t>,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через соціальні програми, працевлаштування, благодійні ініціативи та інші форми підтримки.</w:t>
      </w:r>
    </w:p>
    <w:p w14:paraId="288F99B9" w14:textId="34ED34D6" w:rsidR="00B71F4F" w:rsidRPr="00B42090" w:rsidRDefault="00095891" w:rsidP="00DE51DC">
      <w:pPr>
        <w:autoSpaceDE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  <w:lang w:val="uk-UA"/>
        </w:rPr>
      </w:pPr>
      <w:r w:rsidRPr="0083187F">
        <w:rPr>
          <w:rFonts w:ascii="Times New Roman" w:hAnsi="Times New Roman"/>
          <w:sz w:val="28"/>
          <w:szCs w:val="28"/>
          <w:highlight w:val="green"/>
          <w:lang w:val="uk-UA"/>
        </w:rPr>
        <w:t xml:space="preserve"> </w:t>
      </w:r>
    </w:p>
    <w:p w14:paraId="5939E215" w14:textId="17F39F8A" w:rsidR="00004FB6" w:rsidRPr="0083187F" w:rsidRDefault="00B71F4F" w:rsidP="00DE51DC">
      <w:pPr>
        <w:pStyle w:val="3"/>
        <w:numPr>
          <w:ilvl w:val="0"/>
          <w:numId w:val="1"/>
        </w:numPr>
        <w:tabs>
          <w:tab w:val="left" w:pos="91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83187F">
        <w:rPr>
          <w:color w:val="000000" w:themeColor="text1"/>
          <w:sz w:val="28"/>
          <w:szCs w:val="28"/>
          <w:lang w:val="uk-UA"/>
        </w:rPr>
        <w:t>Обґрунтування необхідності прийняття акта</w:t>
      </w:r>
    </w:p>
    <w:p w14:paraId="7FC3B198" w14:textId="656F3BE1" w:rsidR="00CA5313" w:rsidRPr="00B42090" w:rsidRDefault="00E86CEB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 xml:space="preserve">Україна має нагальну потребу </w:t>
      </w:r>
      <w:r w:rsidR="00CF626D" w:rsidRPr="00B42090">
        <w:rPr>
          <w:rFonts w:ascii="Times New Roman" w:hAnsi="Times New Roman"/>
          <w:sz w:val="28"/>
          <w:szCs w:val="28"/>
          <w:lang w:val="uk-UA"/>
        </w:rPr>
        <w:t xml:space="preserve">забезпечити гідним працевлаштуванням </w:t>
      </w:r>
      <w:r w:rsidRPr="00B42090">
        <w:rPr>
          <w:rFonts w:ascii="Times New Roman" w:hAnsi="Times New Roman"/>
          <w:sz w:val="28"/>
          <w:szCs w:val="28"/>
          <w:lang w:val="uk-UA"/>
        </w:rPr>
        <w:t>ветеранів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B42090">
        <w:rPr>
          <w:rFonts w:ascii="Times New Roman" w:hAnsi="Times New Roman"/>
          <w:sz w:val="28"/>
          <w:szCs w:val="28"/>
          <w:lang w:val="uk-UA"/>
        </w:rPr>
        <w:t>, які повертаються до мирного життя після служби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 xml:space="preserve">, а також </w:t>
      </w:r>
      <w:r w:rsidR="00CF626D" w:rsidRPr="00B42090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>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. Багато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="00970571" w:rsidRPr="00B42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уже беруть активну участь у допомозі ветеранам 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 xml:space="preserve">війни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через працевлаштування, соціальні ініціативи та інші форми підтримки. Проте для стимулювання ширшого залучення бізнесу необхідно запровадити інструмент, що дозволить офіційно визнати ті компанії, які роблять вагомий внесок у  </w:t>
      </w:r>
      <w:r w:rsidR="00CF626D" w:rsidRPr="00B42090">
        <w:rPr>
          <w:rFonts w:ascii="Times New Roman" w:hAnsi="Times New Roman"/>
          <w:sz w:val="28"/>
          <w:szCs w:val="28"/>
          <w:lang w:val="uk-UA"/>
        </w:rPr>
        <w:t xml:space="preserve">працевлаштування </w:t>
      </w:r>
      <w:r w:rsidRPr="00B42090">
        <w:rPr>
          <w:rFonts w:ascii="Times New Roman" w:hAnsi="Times New Roman"/>
          <w:sz w:val="28"/>
          <w:szCs w:val="28"/>
          <w:lang w:val="uk-UA"/>
        </w:rPr>
        <w:t>ветеранів</w:t>
      </w:r>
      <w:r w:rsidR="00CA5313" w:rsidRPr="00B42090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>,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підтримку 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>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543386F" w14:textId="66E4F724" w:rsidR="00E86CEB" w:rsidRPr="0083187F" w:rsidRDefault="00E86CEB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090">
        <w:rPr>
          <w:rFonts w:ascii="Times New Roman" w:hAnsi="Times New Roman"/>
          <w:sz w:val="28"/>
          <w:szCs w:val="28"/>
          <w:lang w:val="uk-UA"/>
        </w:rPr>
        <w:t xml:space="preserve">Запровадження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щорічного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рейтингу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, які активно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сприяють працевлаштуванню </w:t>
      </w:r>
      <w:r w:rsidRPr="00B42090">
        <w:rPr>
          <w:rFonts w:ascii="Times New Roman" w:hAnsi="Times New Roman"/>
          <w:sz w:val="28"/>
          <w:szCs w:val="28"/>
          <w:lang w:val="uk-UA"/>
        </w:rPr>
        <w:t>ветеранів</w:t>
      </w:r>
      <w:r w:rsidR="00CA5313" w:rsidRPr="00B42090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підтримці </w:t>
      </w:r>
      <w:r w:rsidR="00EE4E4F" w:rsidRPr="00B42090">
        <w:rPr>
          <w:rFonts w:ascii="Times New Roman" w:hAnsi="Times New Roman"/>
          <w:sz w:val="28"/>
          <w:szCs w:val="28"/>
          <w:lang w:val="uk-UA"/>
        </w:rPr>
        <w:t xml:space="preserve">членів їх сімей, членів сімей загиблих Захисників та Захисниць України, </w:t>
      </w:r>
      <w:r w:rsidRPr="0083187F">
        <w:rPr>
          <w:rFonts w:ascii="Times New Roman" w:hAnsi="Times New Roman"/>
          <w:sz w:val="28"/>
          <w:szCs w:val="28"/>
          <w:lang w:val="uk-UA"/>
        </w:rPr>
        <w:t>створить умови для публічного визнання їхньої діяльності, що сприятиме підвищенню соціальної відповідальності та мотивації інших компаній до активної участі у підтримці ветеранів</w:t>
      </w:r>
      <w:r w:rsidR="00CA5313" w:rsidRPr="0083187F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83187F">
        <w:rPr>
          <w:rFonts w:ascii="Times New Roman" w:hAnsi="Times New Roman"/>
          <w:sz w:val="28"/>
          <w:szCs w:val="28"/>
          <w:lang w:val="uk-UA"/>
        </w:rPr>
        <w:t>.</w:t>
      </w:r>
    </w:p>
    <w:p w14:paraId="21B0227E" w14:textId="65A6C85F" w:rsidR="00AC7506" w:rsidRPr="0083187F" w:rsidRDefault="00B96172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>Р</w:t>
      </w:r>
      <w:r w:rsidR="00AC7506" w:rsidRPr="0083187F">
        <w:rPr>
          <w:rFonts w:ascii="Times New Roman" w:hAnsi="Times New Roman"/>
          <w:sz w:val="28"/>
          <w:szCs w:val="28"/>
          <w:lang w:val="uk-UA"/>
        </w:rPr>
        <w:t>ізні країни світу вже реалізували успішні моделі підтримки ветеранів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="00AC7506" w:rsidRPr="0083187F">
        <w:rPr>
          <w:rFonts w:ascii="Times New Roman" w:hAnsi="Times New Roman"/>
          <w:sz w:val="28"/>
          <w:szCs w:val="28"/>
          <w:lang w:val="uk-UA"/>
        </w:rPr>
        <w:t>, включаючи системи рейтингу для бізнесу</w:t>
      </w:r>
      <w:r w:rsidRPr="0083187F">
        <w:rPr>
          <w:rFonts w:ascii="Times New Roman" w:hAnsi="Times New Roman"/>
          <w:sz w:val="28"/>
          <w:szCs w:val="28"/>
          <w:lang w:val="uk-UA"/>
        </w:rPr>
        <w:t>, до прикладу:</w:t>
      </w:r>
    </w:p>
    <w:p w14:paraId="04AFA6C6" w14:textId="060E6634" w:rsidR="00AC7506" w:rsidRPr="0083187F" w:rsidRDefault="00AC7506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 xml:space="preserve">США: У Сполучених Штатах Америки діє програма 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Veteran-Owned</w:t>
      </w:r>
      <w:proofErr w:type="spellEnd"/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Business</w:t>
      </w:r>
      <w:proofErr w:type="spellEnd"/>
      <w:r w:rsidR="00F43D45" w:rsidRPr="0083187F">
        <w:rPr>
          <w:rFonts w:ascii="Times New Roman" w:hAnsi="Times New Roman"/>
          <w:sz w:val="28"/>
          <w:szCs w:val="28"/>
          <w:lang w:val="uk-UA"/>
        </w:rPr>
        <w:t>”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(підприємства, що належать ветеранам), яка пропонує підтримку та визнання підприємств, що належать ветеранам. Такі компанії отримують доступ до фінансових ресурсів, тендерів та державних замовлень.</w:t>
      </w:r>
    </w:p>
    <w:p w14:paraId="78268B0E" w14:textId="1096E3FF" w:rsidR="00AC7506" w:rsidRPr="0083187F" w:rsidRDefault="00AC7506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 xml:space="preserve">Канада: У Канаді запроваджено програму 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Veterans</w:t>
      </w:r>
      <w:proofErr w:type="spellEnd"/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Affairs</w:t>
      </w:r>
      <w:proofErr w:type="spellEnd"/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Canada</w:t>
      </w:r>
      <w:proofErr w:type="spellEnd"/>
      <w:r w:rsidR="00F43D45" w:rsidRPr="0083187F">
        <w:rPr>
          <w:rFonts w:ascii="Times New Roman" w:hAnsi="Times New Roman"/>
          <w:sz w:val="28"/>
          <w:szCs w:val="28"/>
          <w:lang w:val="uk-UA"/>
        </w:rPr>
        <w:t>”</w:t>
      </w:r>
      <w:r w:rsidRPr="0083187F">
        <w:rPr>
          <w:rFonts w:ascii="Times New Roman" w:hAnsi="Times New Roman"/>
          <w:sz w:val="28"/>
          <w:szCs w:val="28"/>
          <w:lang w:val="uk-UA"/>
        </w:rPr>
        <w:t>, яка включає підтримку підприємств, що працюють у сфері працевлаштування ветеранів. Підприємства, які активно сприяють інтеграції ветеранів у робочу силу, отримують державне визнання та заохочення.</w:t>
      </w:r>
    </w:p>
    <w:p w14:paraId="2C012E15" w14:textId="0BF7F17A" w:rsidR="00AC7506" w:rsidRPr="0083187F" w:rsidRDefault="00AC7506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 xml:space="preserve">Великобританія: У Великій Британії існує </w:t>
      </w:r>
      <w:r w:rsidR="00F43D45" w:rsidRPr="0083187F">
        <w:rPr>
          <w:rFonts w:ascii="Times New Roman" w:hAnsi="Times New Roman"/>
          <w:sz w:val="28"/>
          <w:szCs w:val="28"/>
          <w:lang w:val="uk-UA"/>
        </w:rPr>
        <w:t>“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Veterans</w:t>
      </w:r>
      <w:proofErr w:type="spellEnd"/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Employment</w:t>
      </w:r>
      <w:proofErr w:type="spellEnd"/>
      <w:r w:rsidRPr="008318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187F">
        <w:rPr>
          <w:rFonts w:ascii="Times New Roman" w:hAnsi="Times New Roman"/>
          <w:sz w:val="28"/>
          <w:szCs w:val="28"/>
          <w:lang w:val="uk-UA"/>
        </w:rPr>
        <w:t>Transition</w:t>
      </w:r>
      <w:proofErr w:type="spellEnd"/>
      <w:r w:rsidR="00F43D45" w:rsidRPr="0083187F">
        <w:rPr>
          <w:rFonts w:ascii="Times New Roman" w:hAnsi="Times New Roman"/>
          <w:sz w:val="28"/>
          <w:szCs w:val="28"/>
          <w:lang w:val="uk-UA"/>
        </w:rPr>
        <w:t>”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(VET), програма, яка надає підтримку роботодавцям у </w:t>
      </w:r>
      <w:r w:rsidR="00F97547" w:rsidRPr="0083187F">
        <w:rPr>
          <w:rFonts w:ascii="Times New Roman" w:hAnsi="Times New Roman"/>
          <w:sz w:val="28"/>
          <w:szCs w:val="28"/>
          <w:lang w:val="uk-UA"/>
        </w:rPr>
        <w:t>працевлаштуванні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 ветеранів. Вона також передбачає рейтинг підприємств, які активно працюють у цій сфері, що стимулює інші бізнеси долучатися до підтримки ветеранів.</w:t>
      </w:r>
    </w:p>
    <w:p w14:paraId="7206C2BC" w14:textId="46F9B1F1" w:rsidR="004E0875" w:rsidRPr="00B42090" w:rsidRDefault="00AC7506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090">
        <w:rPr>
          <w:rFonts w:ascii="Times New Roman" w:hAnsi="Times New Roman"/>
          <w:sz w:val="28"/>
          <w:szCs w:val="28"/>
          <w:lang w:val="uk-UA"/>
        </w:rPr>
        <w:t xml:space="preserve">Введення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щорічного рейтингу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, які активно </w:t>
      </w:r>
      <w:r w:rsidR="0083187F" w:rsidRPr="00B42090">
        <w:rPr>
          <w:rFonts w:ascii="Times New Roman" w:hAnsi="Times New Roman"/>
          <w:strike/>
          <w:sz w:val="28"/>
          <w:szCs w:val="28"/>
          <w:lang w:val="uk-UA"/>
        </w:rPr>
        <w:t xml:space="preserve">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>сприяють працевлаштуванню ветеранів війни, підтримці членів їх сімей,</w:t>
      </w:r>
      <w:r w:rsidR="004E0875" w:rsidRPr="00B420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E0875" w:rsidRPr="00606ECD">
        <w:rPr>
          <w:rFonts w:ascii="Times New Roman" w:hAnsi="Times New Roman"/>
          <w:sz w:val="28"/>
          <w:szCs w:val="28"/>
          <w:lang w:val="uk-UA"/>
        </w:rPr>
        <w:t xml:space="preserve">членів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сімей загиблих Захисників та Захисниць України,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слугуватиме важливим </w:t>
      </w:r>
      <w:r w:rsidRPr="00B42090">
        <w:rPr>
          <w:rFonts w:ascii="Times New Roman" w:hAnsi="Times New Roman"/>
          <w:sz w:val="28"/>
          <w:szCs w:val="28"/>
          <w:lang w:val="uk-UA"/>
        </w:rPr>
        <w:lastRenderedPageBreak/>
        <w:t xml:space="preserve">стимулом для інших бізнесів, підвищуючи їх зацікавленість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брати участь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у ветеранській політиці та сприятиме формуванню соціально відповідального бізнес-середовища. </w:t>
      </w:r>
    </w:p>
    <w:p w14:paraId="7CD39CC7" w14:textId="06A4002B" w:rsidR="00D776C9" w:rsidRPr="00B42090" w:rsidRDefault="00AC7506" w:rsidP="00DE51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090">
        <w:rPr>
          <w:rFonts w:ascii="Times New Roman" w:hAnsi="Times New Roman"/>
          <w:sz w:val="28"/>
          <w:szCs w:val="28"/>
          <w:lang w:val="uk-UA"/>
        </w:rPr>
        <w:t xml:space="preserve">Окрім того, це сприятиме  збільшенню можливостей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працевлаштування </w:t>
      </w:r>
      <w:r w:rsidR="0083187F" w:rsidRPr="00B42090">
        <w:rPr>
          <w:rFonts w:ascii="Times New Roman" w:hAnsi="Times New Roman"/>
          <w:strike/>
          <w:sz w:val="28"/>
          <w:szCs w:val="28"/>
          <w:lang w:val="uk-UA"/>
        </w:rPr>
        <w:t xml:space="preserve">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 ветеранів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 xml:space="preserve"> війни,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>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>.</w:t>
      </w:r>
    </w:p>
    <w:p w14:paraId="39C23E15" w14:textId="77777777" w:rsidR="00A36D9C" w:rsidRPr="00B42090" w:rsidRDefault="00A36D9C" w:rsidP="00DE51D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43F6B3DD" w14:textId="0D74572D" w:rsidR="006E3C4E" w:rsidRPr="00B42090" w:rsidRDefault="00B71F4F" w:rsidP="00DE51D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2090">
        <w:rPr>
          <w:rFonts w:ascii="Times New Roman" w:hAnsi="Times New Roman"/>
          <w:b/>
          <w:bCs/>
          <w:sz w:val="28"/>
          <w:szCs w:val="28"/>
          <w:lang w:val="uk-UA"/>
        </w:rPr>
        <w:t>3. Основні положення проекту акта</w:t>
      </w:r>
    </w:p>
    <w:p w14:paraId="2AC10D73" w14:textId="5DA6370D" w:rsidR="00563DFF" w:rsidRPr="00B42090" w:rsidRDefault="00563DFF" w:rsidP="00DE51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090">
        <w:rPr>
          <w:rFonts w:ascii="Times New Roman" w:hAnsi="Times New Roman"/>
          <w:sz w:val="28"/>
          <w:szCs w:val="28"/>
          <w:lang w:val="uk-UA"/>
        </w:rPr>
        <w:t xml:space="preserve">Проєкт акта передбачає створення системи рейтингу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, які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>сприяють працевлаштуванню ветеранів війни, підтримці 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>. Цей рейтинг базуватиметься на таких критеріях, як кількість працевлаштованих ветеранів</w:t>
      </w:r>
      <w:r w:rsidR="00CA5313" w:rsidRPr="00B42090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B42090">
        <w:rPr>
          <w:rFonts w:ascii="Times New Roman" w:hAnsi="Times New Roman"/>
          <w:sz w:val="28"/>
          <w:szCs w:val="28"/>
          <w:lang w:val="uk-UA"/>
        </w:rPr>
        <w:t>, реалізовані соціальні програми для ветеранів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 xml:space="preserve"> війни,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D45" w:rsidRPr="00B42090">
        <w:rPr>
          <w:rFonts w:ascii="Times New Roman" w:hAnsi="Times New Roman"/>
          <w:sz w:val="28"/>
          <w:szCs w:val="28"/>
          <w:lang w:val="uk-UA"/>
        </w:rPr>
        <w:t>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>, підтримка благодійних ініціатив та внесок у ветеранську політику.</w:t>
      </w:r>
    </w:p>
    <w:p w14:paraId="3213C927" w14:textId="5105B61F" w:rsidR="00A36D9C" w:rsidRPr="00B42090" w:rsidRDefault="00C838D2" w:rsidP="00DE51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2090"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суб’єктів господарювання</w:t>
      </w:r>
      <w:r w:rsidR="00970571" w:rsidRPr="00B42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здійснюватиметься на основі анкетування, де компанії надаватимуть інформацію про свою діяльність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>щодо сприяння працевлаштуванню ветеранів війни, підтримці членів їх сімей, членів сімей загиблих Захисників та Захисниць України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70571" w:rsidRPr="00B42090">
        <w:rPr>
          <w:rFonts w:ascii="Times New Roman" w:eastAsia="Times New Roman" w:hAnsi="Times New Roman"/>
          <w:sz w:val="28"/>
          <w:szCs w:val="28"/>
          <w:lang w:val="uk-UA"/>
        </w:rPr>
        <w:t>Суб’єкти господарювання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, які отримають найвищі оцінки, будуть нагороджені відзнаками, а результати рейтингу будуть оприлюднені в </w:t>
      </w:r>
      <w:r w:rsidR="00970571" w:rsidRPr="00B42090">
        <w:rPr>
          <w:rFonts w:ascii="Times New Roman" w:hAnsi="Times New Roman"/>
          <w:sz w:val="28"/>
          <w:szCs w:val="28"/>
          <w:lang w:val="uk-UA"/>
        </w:rPr>
        <w:t>медіа</w:t>
      </w:r>
      <w:r w:rsidRPr="00B42090">
        <w:rPr>
          <w:rFonts w:ascii="Times New Roman" w:hAnsi="Times New Roman"/>
          <w:sz w:val="28"/>
          <w:szCs w:val="28"/>
          <w:lang w:val="uk-UA"/>
        </w:rPr>
        <w:t xml:space="preserve"> та на офіційних інтернет-ресурсах, що сприятиме підвищенню </w:t>
      </w:r>
      <w:r w:rsidR="00CF29FC" w:rsidRPr="00B42090">
        <w:rPr>
          <w:rFonts w:ascii="Times New Roman" w:hAnsi="Times New Roman"/>
          <w:sz w:val="28"/>
          <w:szCs w:val="28"/>
          <w:lang w:val="uk-UA"/>
        </w:rPr>
        <w:t xml:space="preserve">їхньої </w:t>
      </w:r>
      <w:r w:rsidR="002C5339" w:rsidRPr="00B42090">
        <w:rPr>
          <w:rFonts w:ascii="Times New Roman" w:hAnsi="Times New Roman"/>
          <w:sz w:val="28"/>
          <w:szCs w:val="28"/>
          <w:lang w:val="uk-UA"/>
        </w:rPr>
        <w:t>конкурентоспроможності</w:t>
      </w:r>
      <w:r w:rsidRPr="00B42090">
        <w:rPr>
          <w:rFonts w:ascii="Times New Roman" w:hAnsi="Times New Roman"/>
          <w:sz w:val="28"/>
          <w:szCs w:val="28"/>
          <w:lang w:val="uk-UA"/>
        </w:rPr>
        <w:t>.</w:t>
      </w:r>
    </w:p>
    <w:p w14:paraId="13DE08F7" w14:textId="77777777" w:rsidR="00DE51DC" w:rsidRPr="00B42090" w:rsidRDefault="00DE51DC" w:rsidP="00DE51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C974429" w14:textId="18EA13A7" w:rsidR="00B71F4F" w:rsidRPr="00B42090" w:rsidRDefault="00A36D9C" w:rsidP="00DE51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2090">
        <w:rPr>
          <w:rFonts w:ascii="Times New Roman" w:hAnsi="Times New Roman"/>
          <w:b/>
          <w:sz w:val="28"/>
          <w:szCs w:val="28"/>
          <w:lang w:val="uk-UA"/>
        </w:rPr>
        <w:t>4. </w:t>
      </w:r>
      <w:r w:rsidR="00B71F4F" w:rsidRPr="00B42090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110B699F" w14:textId="19EF38C2" w:rsidR="00A36D9C" w:rsidRPr="00B42090" w:rsidRDefault="007F3756" w:rsidP="00DE51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_Hlk31207532"/>
      <w:r w:rsidRPr="00B42090">
        <w:rPr>
          <w:sz w:val="28"/>
          <w:szCs w:val="28"/>
        </w:rPr>
        <w:t>Указ Президента України</w:t>
      </w:r>
      <w:r w:rsidR="00970825" w:rsidRPr="00B42090">
        <w:rPr>
          <w:sz w:val="28"/>
          <w:szCs w:val="28"/>
          <w:shd w:val="clear" w:color="auto" w:fill="FFFFFF"/>
        </w:rPr>
        <w:t xml:space="preserve"> від 22 серпня 2024 року № 512</w:t>
      </w:r>
      <w:r w:rsidR="00970825" w:rsidRPr="00B42090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970825" w:rsidRPr="00B42090">
        <w:rPr>
          <w:sz w:val="28"/>
          <w:szCs w:val="28"/>
        </w:rPr>
        <w:t>“</w:t>
      </w:r>
      <w:r w:rsidR="00970825" w:rsidRPr="00B42090">
        <w:rPr>
          <w:sz w:val="28"/>
          <w:szCs w:val="28"/>
          <w:shd w:val="clear" w:color="auto" w:fill="FFFFFF"/>
        </w:rPr>
        <w:t>Про невідкладні заходи щодо підтримки ветеранів війни, членів їх сімей, членів сімей загиблих (померлих) ветеранів війни, членів сімей загиблих (померлих) Захисників і Захисниць України</w:t>
      </w:r>
      <w:r w:rsidR="00F43D45" w:rsidRPr="00B42090">
        <w:rPr>
          <w:sz w:val="28"/>
          <w:szCs w:val="28"/>
        </w:rPr>
        <w:t>”</w:t>
      </w:r>
      <w:bookmarkEnd w:id="1"/>
      <w:r w:rsidR="00F43D45" w:rsidRPr="00B42090">
        <w:rPr>
          <w:sz w:val="28"/>
          <w:szCs w:val="28"/>
        </w:rPr>
        <w:t>;</w:t>
      </w:r>
    </w:p>
    <w:p w14:paraId="23006B64" w14:textId="5B09003C" w:rsidR="00A36D9C" w:rsidRPr="00B42090" w:rsidRDefault="00F43D45" w:rsidP="00DE51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2090">
        <w:rPr>
          <w:sz w:val="28"/>
          <w:szCs w:val="28"/>
        </w:rPr>
        <w:t xml:space="preserve">Положення про Міністерство у справах ветеранів України, затверджене </w:t>
      </w:r>
      <w:r w:rsidR="00DE51DC" w:rsidRPr="00B42090">
        <w:rPr>
          <w:sz w:val="28"/>
          <w:szCs w:val="28"/>
        </w:rPr>
        <w:t>постановою Кабінету Міністрів України від 27 грудня 2018 р. № 1175 (в редакції постанови Кабінету Міністрів України від 15 квітня 2020 р. № 276).</w:t>
      </w:r>
    </w:p>
    <w:p w14:paraId="035AE1AE" w14:textId="77777777" w:rsidR="00DE51DC" w:rsidRPr="00B42090" w:rsidRDefault="00DE51DC" w:rsidP="00DE51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</w:p>
    <w:p w14:paraId="50C0849B" w14:textId="22C4C57B" w:rsidR="00B71F4F" w:rsidRPr="0083187F" w:rsidRDefault="00A36D9C" w:rsidP="00DE51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83187F">
        <w:rPr>
          <w:b/>
          <w:bCs/>
          <w:color w:val="000000" w:themeColor="text1"/>
          <w:sz w:val="28"/>
          <w:szCs w:val="28"/>
        </w:rPr>
        <w:t>5. </w:t>
      </w:r>
      <w:r w:rsidR="00B71F4F" w:rsidRPr="0083187F">
        <w:rPr>
          <w:b/>
          <w:bCs/>
          <w:color w:val="000000" w:themeColor="text1"/>
          <w:sz w:val="28"/>
          <w:szCs w:val="28"/>
        </w:rPr>
        <w:t>Фінансово-економічне обґрунтування</w:t>
      </w:r>
    </w:p>
    <w:p w14:paraId="03D8085B" w14:textId="2CEF7D0B" w:rsidR="002933EE" w:rsidRPr="0083187F" w:rsidRDefault="00563DFF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 xml:space="preserve">Реалізація проєкту акта не потребує </w:t>
      </w:r>
      <w:r w:rsidR="002933EE" w:rsidRPr="0083187F">
        <w:rPr>
          <w:b w:val="0"/>
          <w:bCs w:val="0"/>
          <w:sz w:val="28"/>
          <w:szCs w:val="28"/>
          <w:lang w:val="uk-UA"/>
        </w:rPr>
        <w:t>коштів з державного та місцевого бюджетів, тому фінансово-економічні розрахунки не подаються.</w:t>
      </w:r>
    </w:p>
    <w:p w14:paraId="6ED1401B" w14:textId="77777777" w:rsidR="002933EE" w:rsidRPr="00B42090" w:rsidRDefault="002933EE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16"/>
          <w:szCs w:val="16"/>
          <w:lang w:val="uk-UA"/>
        </w:rPr>
      </w:pPr>
    </w:p>
    <w:p w14:paraId="0072DA4C" w14:textId="7A9CDCD8" w:rsidR="00B71F4F" w:rsidRPr="0083187F" w:rsidRDefault="00A36D9C" w:rsidP="00DE51DC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3187F">
        <w:rPr>
          <w:sz w:val="28"/>
          <w:szCs w:val="28"/>
          <w:lang w:val="uk-UA"/>
        </w:rPr>
        <w:t>6. </w:t>
      </w:r>
      <w:r w:rsidR="00B71F4F" w:rsidRPr="0083187F">
        <w:rPr>
          <w:sz w:val="28"/>
          <w:szCs w:val="28"/>
          <w:lang w:val="uk-UA"/>
        </w:rPr>
        <w:t>Позиція заінтересованих сторін</w:t>
      </w:r>
    </w:p>
    <w:p w14:paraId="14EA4DBE" w14:textId="2881E4F1" w:rsidR="00606ECD" w:rsidRPr="00606ECD" w:rsidRDefault="00606ECD" w:rsidP="00DE51D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06EC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акта стосується соціально-трудової сфери, </w:t>
      </w:r>
      <w:r w:rsidRPr="00606ECD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у зв’язку з чим</w:t>
      </w:r>
      <w:r w:rsidRPr="00606E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потребує </w:t>
      </w:r>
      <w:r w:rsidRPr="00606ECD">
        <w:rPr>
          <w:rFonts w:ascii="Times New Roman" w:hAnsi="Times New Roman"/>
          <w:bCs/>
          <w:color w:val="000000"/>
          <w:sz w:val="28"/>
          <w:szCs w:val="28"/>
          <w:lang w:val="uk-UA"/>
        </w:rPr>
        <w:t>погоджен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ня</w:t>
      </w:r>
      <w:r w:rsidRPr="00606EC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уповноваженими представниками всеукраїнських профспілок, їхніх об’єднань і всеукраїнських об’єднань організацій роботодавців.</w:t>
      </w:r>
    </w:p>
    <w:p w14:paraId="6E76C14F" w14:textId="77777777" w:rsidR="00246F48" w:rsidRPr="00E34FA2" w:rsidRDefault="00246F48" w:rsidP="00246F48">
      <w:pPr>
        <w:tabs>
          <w:tab w:val="left" w:pos="900"/>
          <w:tab w:val="left" w:pos="952"/>
        </w:tabs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34FA2">
        <w:rPr>
          <w:rFonts w:ascii="Times New Roman" w:hAnsi="Times New Roman"/>
          <w:sz w:val="28"/>
          <w:szCs w:val="28"/>
          <w:lang w:val="uk-UA"/>
        </w:rPr>
        <w:t>Публічні консультації з громадськістю пров</w:t>
      </w:r>
      <w:r>
        <w:rPr>
          <w:rFonts w:ascii="Times New Roman" w:hAnsi="Times New Roman"/>
          <w:sz w:val="28"/>
          <w:szCs w:val="28"/>
          <w:lang w:val="uk-UA"/>
        </w:rPr>
        <w:t>одяться</w:t>
      </w:r>
      <w:r w:rsidRPr="00E34FA2">
        <w:rPr>
          <w:rFonts w:ascii="Times New Roman" w:hAnsi="Times New Roman"/>
          <w:sz w:val="28"/>
          <w:szCs w:val="28"/>
          <w:lang w:val="uk-UA"/>
        </w:rPr>
        <w:t xml:space="preserve"> у формі електронних консультацій на офіційному веб-сайті Мінветеранів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 р. № 996.</w:t>
      </w:r>
    </w:p>
    <w:p w14:paraId="01BD6C1E" w14:textId="2AA18DD2" w:rsidR="00122EF1" w:rsidRPr="0083187F" w:rsidRDefault="00122EF1" w:rsidP="00DE51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3187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</w:t>
      </w:r>
      <w:r w:rsidRPr="0083187F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регіонального розвитку, прав осіб з інвалідністю, функціонування і застосування української мови як державної.</w:t>
      </w:r>
    </w:p>
    <w:p w14:paraId="48F940E7" w14:textId="4D2B07AB" w:rsidR="008A253C" w:rsidRPr="0083187F" w:rsidRDefault="008A253C" w:rsidP="00DE51DC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187F">
        <w:rPr>
          <w:color w:val="000000" w:themeColor="text1"/>
          <w:sz w:val="28"/>
          <w:szCs w:val="28"/>
          <w:lang w:val="uk-UA"/>
        </w:rPr>
        <w:t>Проєкт акта не стосується сфери наукової та науково-технічної діяльності.</w:t>
      </w:r>
    </w:p>
    <w:p w14:paraId="024DCB48" w14:textId="77777777" w:rsidR="00B42090" w:rsidRPr="0083187F" w:rsidRDefault="00B42090" w:rsidP="00DE51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40E1E1BA" w14:textId="5B6E20D4" w:rsidR="00B71F4F" w:rsidRPr="0083187F" w:rsidRDefault="00A36D9C" w:rsidP="00DE51DC">
      <w:pPr>
        <w:pStyle w:val="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187F">
        <w:rPr>
          <w:color w:val="000000" w:themeColor="text1"/>
          <w:sz w:val="28"/>
          <w:szCs w:val="28"/>
          <w:lang w:val="uk-UA"/>
        </w:rPr>
        <w:t xml:space="preserve">7. </w:t>
      </w:r>
      <w:r w:rsidR="00B71F4F" w:rsidRPr="0083187F">
        <w:rPr>
          <w:color w:val="000000" w:themeColor="text1"/>
          <w:sz w:val="28"/>
          <w:szCs w:val="28"/>
          <w:lang w:val="uk-UA"/>
        </w:rPr>
        <w:t>Оцінка відповідності</w:t>
      </w:r>
    </w:p>
    <w:p w14:paraId="6FB1D467" w14:textId="13A89AAA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У проєкті акта відсутні положення, що:</w:t>
      </w:r>
    </w:p>
    <w:p w14:paraId="486D40B5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стосуються зобов'язань України у сфері європейської інтеграції;</w:t>
      </w:r>
    </w:p>
    <w:p w14:paraId="721DEAA5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14:paraId="55629778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14:paraId="26EC95EB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містять ризики вчинення корупційних правопорушень та правопорушень, пов'язаних з корупцією;</w:t>
      </w:r>
    </w:p>
    <w:p w14:paraId="4612A8D2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>створюють підстави для дискримінації.</w:t>
      </w:r>
    </w:p>
    <w:p w14:paraId="751B915D" w14:textId="31A695A9" w:rsidR="00B71F4F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 w:rsidRPr="0083187F">
        <w:rPr>
          <w:b w:val="0"/>
          <w:bCs w:val="0"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83187F">
        <w:rPr>
          <w:b w:val="0"/>
          <w:bCs w:val="0"/>
          <w:sz w:val="28"/>
          <w:szCs w:val="28"/>
          <w:lang w:val="uk-UA"/>
        </w:rPr>
        <w:t>антидискримінаційна</w:t>
      </w:r>
      <w:proofErr w:type="spellEnd"/>
      <w:r w:rsidRPr="0083187F">
        <w:rPr>
          <w:b w:val="0"/>
          <w:bCs w:val="0"/>
          <w:sz w:val="28"/>
          <w:szCs w:val="28"/>
          <w:lang w:val="uk-UA"/>
        </w:rPr>
        <w:t xml:space="preserve"> та громадська </w:t>
      </w:r>
      <w:proofErr w:type="spellStart"/>
      <w:r w:rsidRPr="0083187F">
        <w:rPr>
          <w:b w:val="0"/>
          <w:bCs w:val="0"/>
          <w:sz w:val="28"/>
          <w:szCs w:val="28"/>
          <w:lang w:val="uk-UA"/>
        </w:rPr>
        <w:t>гендерно</w:t>
      </w:r>
      <w:proofErr w:type="spellEnd"/>
      <w:r w:rsidRPr="0083187F">
        <w:rPr>
          <w:b w:val="0"/>
          <w:bCs w:val="0"/>
          <w:sz w:val="28"/>
          <w:szCs w:val="28"/>
          <w:lang w:val="uk-UA"/>
        </w:rPr>
        <w:t>-правова експертизи не проводились.</w:t>
      </w:r>
    </w:p>
    <w:p w14:paraId="042C5226" w14:textId="77777777" w:rsidR="001B4EAD" w:rsidRPr="0083187F" w:rsidRDefault="001B4EAD" w:rsidP="00DE51DC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729EF679" w14:textId="41210B4C" w:rsidR="00B473E3" w:rsidRPr="0083187F" w:rsidRDefault="00A36D9C" w:rsidP="00DE51DC">
      <w:pPr>
        <w:pStyle w:val="3"/>
        <w:spacing w:before="0" w:beforeAutospacing="0" w:after="0" w:afterAutospacing="0"/>
        <w:ind w:firstLine="567"/>
        <w:jc w:val="both"/>
        <w:rPr>
          <w:bCs w:val="0"/>
          <w:sz w:val="28"/>
          <w:szCs w:val="28"/>
          <w:lang w:val="uk-UA"/>
        </w:rPr>
      </w:pPr>
      <w:r w:rsidRPr="0083187F">
        <w:rPr>
          <w:bCs w:val="0"/>
          <w:sz w:val="28"/>
          <w:szCs w:val="28"/>
          <w:lang w:val="uk-UA"/>
        </w:rPr>
        <w:t>8. </w:t>
      </w:r>
      <w:r w:rsidR="00B71F4F" w:rsidRPr="0083187F">
        <w:rPr>
          <w:bCs w:val="0"/>
          <w:sz w:val="28"/>
          <w:szCs w:val="28"/>
          <w:lang w:val="uk-UA"/>
        </w:rPr>
        <w:t>Прогноз результатів</w:t>
      </w:r>
    </w:p>
    <w:p w14:paraId="46246321" w14:textId="7A9C4E5C" w:rsidR="000F7B04" w:rsidRPr="0083187F" w:rsidRDefault="000F7B04" w:rsidP="00DE51D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>Прийняття проекту акта сприятиме посиленню соціальної відповідальності бізнесу, збільшенню можливостей для працевлаштування ветеранів</w:t>
      </w:r>
      <w:r w:rsidR="00DE51DC" w:rsidRPr="0083187F">
        <w:rPr>
          <w:rFonts w:ascii="Times New Roman" w:hAnsi="Times New Roman"/>
          <w:sz w:val="28"/>
          <w:szCs w:val="28"/>
          <w:lang w:val="uk-UA"/>
        </w:rPr>
        <w:t xml:space="preserve"> війни</w:t>
      </w:r>
      <w:r w:rsidRPr="008318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0875" w:rsidRPr="00B42090">
        <w:rPr>
          <w:rFonts w:ascii="Times New Roman" w:hAnsi="Times New Roman"/>
          <w:sz w:val="28"/>
          <w:szCs w:val="28"/>
          <w:lang w:val="uk-UA"/>
        </w:rPr>
        <w:t xml:space="preserve">підтримки членів їх сімей, членів сімей загиблих Захисників та Захисниць України </w:t>
      </w:r>
      <w:r w:rsidRPr="0083187F">
        <w:rPr>
          <w:rFonts w:ascii="Times New Roman" w:hAnsi="Times New Roman"/>
          <w:sz w:val="28"/>
          <w:szCs w:val="28"/>
          <w:lang w:val="uk-UA"/>
        </w:rPr>
        <w:t>а також покращенню їхнього соціального захисту. Це стане важливим кроком на шляху до створення більш інклюзивного і підтримуючого середовища для ветеранів війни</w:t>
      </w:r>
      <w:r w:rsidR="00DE51DC" w:rsidRPr="0083187F">
        <w:rPr>
          <w:rFonts w:ascii="Times New Roman" w:hAnsi="Times New Roman"/>
          <w:sz w:val="28"/>
          <w:szCs w:val="28"/>
          <w:lang w:val="uk-UA"/>
        </w:rPr>
        <w:t>,</w:t>
      </w:r>
      <w:r w:rsidR="00DE51DC" w:rsidRPr="0083187F">
        <w:rPr>
          <w:sz w:val="28"/>
          <w:szCs w:val="28"/>
          <w:lang w:val="uk-UA"/>
        </w:rPr>
        <w:t xml:space="preserve"> </w:t>
      </w:r>
      <w:r w:rsidR="00DE51DC" w:rsidRPr="0083187F">
        <w:rPr>
          <w:rFonts w:ascii="Times New Roman" w:hAnsi="Times New Roman"/>
          <w:sz w:val="28"/>
          <w:szCs w:val="28"/>
          <w:lang w:val="uk-UA"/>
        </w:rPr>
        <w:t>членів їх сімей, членів сімей загиблих Захисників та Захисниць України</w:t>
      </w:r>
      <w:r w:rsidRPr="0083187F">
        <w:rPr>
          <w:rFonts w:ascii="Times New Roman" w:hAnsi="Times New Roman"/>
          <w:sz w:val="28"/>
          <w:szCs w:val="28"/>
          <w:lang w:val="uk-UA"/>
        </w:rPr>
        <w:t>.</w:t>
      </w:r>
    </w:p>
    <w:p w14:paraId="284A9D8E" w14:textId="77777777" w:rsidR="00B15D2E" w:rsidRPr="0083187F" w:rsidRDefault="00B15D2E" w:rsidP="00DE51DC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  <w:lang w:val="uk-UA"/>
        </w:rPr>
      </w:pPr>
      <w:r w:rsidRPr="0083187F">
        <w:rPr>
          <w:b w:val="0"/>
          <w:sz w:val="28"/>
          <w:szCs w:val="28"/>
          <w:lang w:val="uk-UA"/>
        </w:rPr>
        <w:t>Інформація щодо впливу на інтереси заінтересованих сторін: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3549"/>
      </w:tblGrid>
      <w:tr w:rsidR="00B15D2E" w:rsidRPr="0083187F" w14:paraId="6AA47BB5" w14:textId="77777777" w:rsidTr="003B1701">
        <w:trPr>
          <w:trHeight w:val="75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43F" w14:textId="77777777" w:rsidR="00B15D2E" w:rsidRPr="0083187F" w:rsidRDefault="00B15D2E" w:rsidP="00DE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48F8C" w14:textId="77777777" w:rsidR="00B15D2E" w:rsidRPr="0083187F" w:rsidRDefault="00B15D2E" w:rsidP="00DE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Вплив реалізації акта на заінтересовану сторону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3E5D1" w14:textId="77777777" w:rsidR="00B15D2E" w:rsidRPr="0083187F" w:rsidRDefault="00B15D2E" w:rsidP="00DE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Пояснення очікуваного впливу</w:t>
            </w:r>
          </w:p>
        </w:tc>
      </w:tr>
      <w:tr w:rsidR="003B1701" w:rsidRPr="0083187F" w14:paraId="0BC2DF0D" w14:textId="77777777" w:rsidTr="003B1701">
        <w:trPr>
          <w:trHeight w:val="75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002D" w14:textId="24FCE418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Ветерани війни</w:t>
            </w:r>
            <w:r w:rsidR="00DE51DC"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E51DC"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члени їх сімей, члени сімей загиблих Захисників та Захисниць України</w:t>
            </w: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14:paraId="4E655027" w14:textId="77777777" w:rsidR="003B1701" w:rsidRPr="0083187F" w:rsidRDefault="003B1701" w:rsidP="00DE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D20B" w14:textId="0FA4A300" w:rsidR="003B1701" w:rsidRPr="0083187F" w:rsidRDefault="003B1701" w:rsidP="00DE5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Позитивний:</w:t>
            </w:r>
          </w:p>
        </w:tc>
        <w:tc>
          <w:tcPr>
            <w:tcW w:w="35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356E2" w14:textId="3866F61A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>Прийняття Указу Президента України сприятиме формуванню більшої соціальної відповідальності серед бізнесу та активізації їхньої участі у програмах підтримки ветеранів.</w:t>
            </w:r>
          </w:p>
          <w:p w14:paraId="2948DB7E" w14:textId="77777777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346BCB9" w14:textId="6B193DDF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Рейтинг стимулюватиме компанії розвивати ініціативи, спрямовані на працевлаштування ветеранів і їхніх сімей, що позитивно вплине на рівень безробіття та соціальну </w:t>
            </w:r>
            <w:r w:rsidRPr="008318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адаптацію цих категорій населення. Залучення бізнесу до підтримки ветеранів також сприятиме зміцненню зв’язків між громадянським суспільством і підприємництвом, що в свою чергу, підвищить загальний рівень соціальної згуртованості в суспільстві.</w:t>
            </w:r>
          </w:p>
        </w:tc>
      </w:tr>
      <w:tr w:rsidR="003B1701" w:rsidRPr="0083187F" w14:paraId="0B8A8106" w14:textId="77777777" w:rsidTr="003B1701">
        <w:trPr>
          <w:trHeight w:val="75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160A2" w14:textId="77777777" w:rsidR="003B1701" w:rsidRPr="0083187F" w:rsidRDefault="003B1701" w:rsidP="00DE5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345FC5" w14:textId="77777777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отримають можливість працевлаштування, соціальної підтримки та участі у програмах, спрямованих на їхню адаптацію до цивільного життя.</w:t>
            </w:r>
          </w:p>
          <w:p w14:paraId="62C517B1" w14:textId="77777777" w:rsidR="003B1701" w:rsidRPr="0083187F" w:rsidRDefault="003B1701" w:rsidP="00DE5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3E2AD06B" w14:textId="0AA986C1" w:rsidR="003B1701" w:rsidRPr="0083187F" w:rsidRDefault="003B1701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7DC8" w:rsidRPr="0083187F" w14:paraId="4D443CA5" w14:textId="77777777" w:rsidTr="003B1701">
        <w:trPr>
          <w:trHeight w:val="7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89C5" w14:textId="07F09DB8" w:rsidR="00DF7DC8" w:rsidRPr="00B42090" w:rsidRDefault="00970571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420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Суб’єкти господарювання</w:t>
            </w:r>
            <w:r w:rsidR="00DF7DC8" w:rsidRPr="00B4209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30104173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269EB3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будуть заохочені активно підтримувати ветеранів, що підвищить їхню соціальну відповідальність та репутацію. </w:t>
            </w:r>
          </w:p>
          <w:p w14:paraId="7AABB17D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27C50B03" w14:textId="5E91E7C4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7DC8" w:rsidRPr="0083187F" w14:paraId="590574DC" w14:textId="77777777" w:rsidTr="003B1701">
        <w:trPr>
          <w:trHeight w:val="7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DF0B5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Державні органи влади: </w:t>
            </w:r>
          </w:p>
          <w:p w14:paraId="5C33C764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D1F5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отримають інструмент для моніторингу та оцінки внеску бізнесу у підтримку ветеранів, що може слугувати основою для подальших ініціатив у цій сфері.</w:t>
            </w:r>
          </w:p>
          <w:p w14:paraId="49752A9C" w14:textId="7777777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2EF07000" w14:textId="36BAE0E8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7DC8" w:rsidRPr="0083187F" w14:paraId="3500F0BB" w14:textId="77777777" w:rsidTr="003B1701">
        <w:trPr>
          <w:trHeight w:val="7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42A" w14:textId="04383BD7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Громадські організації та фонди: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6CB3C" w14:textId="4C1031AF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83187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можуть отримати нові можливості для співпраці з бізнесом та державою в рамках підтримки ветеранів.</w:t>
            </w:r>
          </w:p>
        </w:tc>
        <w:tc>
          <w:tcPr>
            <w:tcW w:w="3549" w:type="dxa"/>
            <w:vMerge/>
            <w:shd w:val="clear" w:color="auto" w:fill="auto"/>
            <w:vAlign w:val="center"/>
          </w:tcPr>
          <w:p w14:paraId="606F9DAD" w14:textId="00DDE6C4" w:rsidR="00DF7DC8" w:rsidRPr="0083187F" w:rsidRDefault="00DF7DC8" w:rsidP="00DE51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3BC6469" w14:textId="4A07CE11" w:rsidR="008B3972" w:rsidRPr="0083187F" w:rsidRDefault="008B3972" w:rsidP="00DE5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1A6D11" w14:textId="77777777" w:rsidR="00A36D9C" w:rsidRPr="0083187F" w:rsidRDefault="00A36D9C" w:rsidP="00DE5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487655" w14:textId="3A7EE54F" w:rsidR="0036260B" w:rsidRPr="0083187F" w:rsidRDefault="001B0FF1" w:rsidP="00DE51DC">
      <w:pPr>
        <w:tabs>
          <w:tab w:val="left" w:pos="853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187F">
        <w:rPr>
          <w:rFonts w:ascii="Times New Roman" w:hAnsi="Times New Roman"/>
          <w:bCs/>
          <w:sz w:val="28"/>
          <w:szCs w:val="28"/>
          <w:lang w:val="uk-UA"/>
        </w:rPr>
        <w:t>М</w:t>
      </w:r>
      <w:r w:rsidR="0036260B" w:rsidRPr="0083187F">
        <w:rPr>
          <w:rFonts w:ascii="Times New Roman" w:hAnsi="Times New Roman"/>
          <w:bCs/>
          <w:sz w:val="28"/>
          <w:szCs w:val="28"/>
          <w:lang w:val="uk-UA"/>
        </w:rPr>
        <w:t>іністр</w:t>
      </w:r>
      <w:r w:rsidR="001B34B7" w:rsidRPr="00831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6260B" w:rsidRPr="0083187F">
        <w:rPr>
          <w:rFonts w:ascii="Times New Roman" w:hAnsi="Times New Roman"/>
          <w:bCs/>
          <w:sz w:val="28"/>
          <w:szCs w:val="28"/>
          <w:lang w:val="uk-UA"/>
        </w:rPr>
        <w:t xml:space="preserve">у справах ветеранів України         </w:t>
      </w:r>
      <w:r w:rsidR="00DE51DC" w:rsidRPr="0083187F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36260B" w:rsidRPr="0083187F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="00B460F3" w:rsidRPr="0083187F">
        <w:rPr>
          <w:rFonts w:ascii="Times New Roman" w:hAnsi="Times New Roman"/>
          <w:bCs/>
          <w:sz w:val="28"/>
          <w:szCs w:val="28"/>
          <w:lang w:val="uk-UA"/>
        </w:rPr>
        <w:t>Наталія КАЛМИКОВА</w:t>
      </w:r>
    </w:p>
    <w:p w14:paraId="13BED6BB" w14:textId="77777777" w:rsidR="00C3139C" w:rsidRPr="0083187F" w:rsidRDefault="00C3139C" w:rsidP="00DE51DC">
      <w:pPr>
        <w:tabs>
          <w:tab w:val="left" w:pos="853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C3DA9DE" w14:textId="7842CD37" w:rsidR="00095891" w:rsidRPr="005F15C9" w:rsidRDefault="002F33B1" w:rsidP="00DE51D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187F">
        <w:rPr>
          <w:rFonts w:ascii="Times New Roman" w:hAnsi="Times New Roman"/>
          <w:sz w:val="28"/>
          <w:szCs w:val="28"/>
          <w:lang w:val="uk-UA"/>
        </w:rPr>
        <w:t>___ ___________ 20</w:t>
      </w:r>
      <w:r w:rsidR="001640B6" w:rsidRPr="0083187F">
        <w:rPr>
          <w:rFonts w:ascii="Times New Roman" w:hAnsi="Times New Roman"/>
          <w:sz w:val="28"/>
          <w:szCs w:val="28"/>
          <w:lang w:val="uk-UA"/>
        </w:rPr>
        <w:t>2</w:t>
      </w:r>
      <w:r w:rsidR="00B460F3" w:rsidRPr="0083187F"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83187F">
        <w:rPr>
          <w:rFonts w:ascii="Times New Roman" w:hAnsi="Times New Roman"/>
          <w:sz w:val="28"/>
          <w:szCs w:val="28"/>
          <w:lang w:val="uk-UA"/>
        </w:rPr>
        <w:t>р</w:t>
      </w:r>
      <w:r w:rsidRPr="005F15C9">
        <w:rPr>
          <w:rFonts w:ascii="Times New Roman" w:hAnsi="Times New Roman"/>
          <w:sz w:val="28"/>
          <w:szCs w:val="28"/>
          <w:lang w:val="uk-UA"/>
        </w:rPr>
        <w:t>.</w:t>
      </w:r>
    </w:p>
    <w:sectPr w:rsidR="00095891" w:rsidRPr="005F15C9" w:rsidSect="00AD5B32">
      <w:headerReference w:type="default" r:id="rId7"/>
      <w:pgSz w:w="11906" w:h="16838"/>
      <w:pgMar w:top="1134" w:right="567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6FAC" w14:textId="77777777" w:rsidR="00F72287" w:rsidRDefault="00F72287" w:rsidP="00DF59CD">
      <w:pPr>
        <w:spacing w:after="0" w:line="240" w:lineRule="auto"/>
      </w:pPr>
      <w:r>
        <w:separator/>
      </w:r>
    </w:p>
  </w:endnote>
  <w:endnote w:type="continuationSeparator" w:id="0">
    <w:p w14:paraId="0CC10358" w14:textId="77777777" w:rsidR="00F72287" w:rsidRDefault="00F72287" w:rsidP="00D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EC60" w14:textId="77777777" w:rsidR="00F72287" w:rsidRDefault="00F72287" w:rsidP="00DF59CD">
      <w:pPr>
        <w:spacing w:after="0" w:line="240" w:lineRule="auto"/>
      </w:pPr>
      <w:r>
        <w:separator/>
      </w:r>
    </w:p>
  </w:footnote>
  <w:footnote w:type="continuationSeparator" w:id="0">
    <w:p w14:paraId="7A27D48A" w14:textId="77777777" w:rsidR="00F72287" w:rsidRDefault="00F72287" w:rsidP="00DF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A66F" w14:textId="385AA2CA" w:rsidR="00DF59CD" w:rsidRDefault="00B32E5B" w:rsidP="00A9329C">
    <w:pPr>
      <w:pStyle w:val="a4"/>
      <w:spacing w:after="0" w:line="240" w:lineRule="auto"/>
      <w:jc w:val="center"/>
    </w:pPr>
    <w:r w:rsidRPr="00DF59CD">
      <w:rPr>
        <w:rFonts w:ascii="Times New Roman" w:hAnsi="Times New Roman"/>
        <w:sz w:val="28"/>
        <w:szCs w:val="28"/>
      </w:rPr>
      <w:fldChar w:fldCharType="begin"/>
    </w:r>
    <w:r w:rsidR="00DF59CD" w:rsidRPr="00DF59CD">
      <w:rPr>
        <w:rFonts w:ascii="Times New Roman" w:hAnsi="Times New Roman"/>
        <w:sz w:val="28"/>
        <w:szCs w:val="28"/>
      </w:rPr>
      <w:instrText>PAGE   \* MERGEFORMAT</w:instrText>
    </w:r>
    <w:r w:rsidRPr="00DF59CD">
      <w:rPr>
        <w:rFonts w:ascii="Times New Roman" w:hAnsi="Times New Roman"/>
        <w:sz w:val="28"/>
        <w:szCs w:val="28"/>
      </w:rPr>
      <w:fldChar w:fldCharType="separate"/>
    </w:r>
    <w:r w:rsidR="001B34B7">
      <w:rPr>
        <w:rFonts w:ascii="Times New Roman" w:hAnsi="Times New Roman"/>
        <w:noProof/>
        <w:sz w:val="28"/>
        <w:szCs w:val="28"/>
      </w:rPr>
      <w:t>3</w:t>
    </w:r>
    <w:r w:rsidRPr="00DF59C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8B2"/>
    <w:multiLevelType w:val="hybridMultilevel"/>
    <w:tmpl w:val="B74435DC"/>
    <w:lvl w:ilvl="0" w:tplc="B87A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4F6134"/>
    <w:multiLevelType w:val="hybridMultilevel"/>
    <w:tmpl w:val="585AF8EA"/>
    <w:lvl w:ilvl="0" w:tplc="77B60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C9"/>
    <w:rsid w:val="000035D1"/>
    <w:rsid w:val="00004FB6"/>
    <w:rsid w:val="0001354D"/>
    <w:rsid w:val="00016BB6"/>
    <w:rsid w:val="00025626"/>
    <w:rsid w:val="0003153F"/>
    <w:rsid w:val="00034853"/>
    <w:rsid w:val="00037757"/>
    <w:rsid w:val="00063344"/>
    <w:rsid w:val="00066157"/>
    <w:rsid w:val="00082888"/>
    <w:rsid w:val="00083586"/>
    <w:rsid w:val="00095891"/>
    <w:rsid w:val="00096347"/>
    <w:rsid w:val="000A4FD1"/>
    <w:rsid w:val="000B01EF"/>
    <w:rsid w:val="000C57CE"/>
    <w:rsid w:val="000C7DE2"/>
    <w:rsid w:val="000D6447"/>
    <w:rsid w:val="000F60B6"/>
    <w:rsid w:val="000F7B04"/>
    <w:rsid w:val="00122EF1"/>
    <w:rsid w:val="0012629B"/>
    <w:rsid w:val="00136D12"/>
    <w:rsid w:val="00141354"/>
    <w:rsid w:val="00150521"/>
    <w:rsid w:val="001640B6"/>
    <w:rsid w:val="00172FFC"/>
    <w:rsid w:val="00184625"/>
    <w:rsid w:val="00185604"/>
    <w:rsid w:val="001906AC"/>
    <w:rsid w:val="001960F7"/>
    <w:rsid w:val="001B0FF1"/>
    <w:rsid w:val="001B34B7"/>
    <w:rsid w:val="001B4EAD"/>
    <w:rsid w:val="001C16F5"/>
    <w:rsid w:val="001D3EF1"/>
    <w:rsid w:val="001E0716"/>
    <w:rsid w:val="001E08DD"/>
    <w:rsid w:val="001E582D"/>
    <w:rsid w:val="001F44D7"/>
    <w:rsid w:val="001F680F"/>
    <w:rsid w:val="00201257"/>
    <w:rsid w:val="00213DBE"/>
    <w:rsid w:val="00214C7A"/>
    <w:rsid w:val="00215B99"/>
    <w:rsid w:val="00222774"/>
    <w:rsid w:val="00225471"/>
    <w:rsid w:val="00225B76"/>
    <w:rsid w:val="002269EC"/>
    <w:rsid w:val="00234ECB"/>
    <w:rsid w:val="00240C5E"/>
    <w:rsid w:val="0024314B"/>
    <w:rsid w:val="00246F48"/>
    <w:rsid w:val="00250BE6"/>
    <w:rsid w:val="002552D1"/>
    <w:rsid w:val="0026173F"/>
    <w:rsid w:val="00267CC9"/>
    <w:rsid w:val="002729E3"/>
    <w:rsid w:val="00275D2D"/>
    <w:rsid w:val="00286E3A"/>
    <w:rsid w:val="00286E8D"/>
    <w:rsid w:val="002921C0"/>
    <w:rsid w:val="002933EE"/>
    <w:rsid w:val="002B67B0"/>
    <w:rsid w:val="002C15C8"/>
    <w:rsid w:val="002C34DF"/>
    <w:rsid w:val="002C4C83"/>
    <w:rsid w:val="002C5339"/>
    <w:rsid w:val="002E2465"/>
    <w:rsid w:val="002E27FE"/>
    <w:rsid w:val="002F33B1"/>
    <w:rsid w:val="0031344D"/>
    <w:rsid w:val="0033253F"/>
    <w:rsid w:val="00342577"/>
    <w:rsid w:val="003468F8"/>
    <w:rsid w:val="00354717"/>
    <w:rsid w:val="0035553E"/>
    <w:rsid w:val="0036260B"/>
    <w:rsid w:val="00370684"/>
    <w:rsid w:val="00375A2A"/>
    <w:rsid w:val="003844C6"/>
    <w:rsid w:val="0038518F"/>
    <w:rsid w:val="003953C7"/>
    <w:rsid w:val="003A1943"/>
    <w:rsid w:val="003A551D"/>
    <w:rsid w:val="003B1701"/>
    <w:rsid w:val="003B6A22"/>
    <w:rsid w:val="003C29D3"/>
    <w:rsid w:val="003D76EA"/>
    <w:rsid w:val="003E6A23"/>
    <w:rsid w:val="003F2237"/>
    <w:rsid w:val="003F3536"/>
    <w:rsid w:val="003F57C8"/>
    <w:rsid w:val="003F748D"/>
    <w:rsid w:val="004015D1"/>
    <w:rsid w:val="0041120F"/>
    <w:rsid w:val="00417A01"/>
    <w:rsid w:val="0042295E"/>
    <w:rsid w:val="0044062F"/>
    <w:rsid w:val="004415B6"/>
    <w:rsid w:val="004428D9"/>
    <w:rsid w:val="0046611A"/>
    <w:rsid w:val="004907DB"/>
    <w:rsid w:val="004965F7"/>
    <w:rsid w:val="004A1E97"/>
    <w:rsid w:val="004B1481"/>
    <w:rsid w:val="004D2FAD"/>
    <w:rsid w:val="004D3960"/>
    <w:rsid w:val="004E0875"/>
    <w:rsid w:val="004E1DDB"/>
    <w:rsid w:val="004E5EEE"/>
    <w:rsid w:val="004E75A1"/>
    <w:rsid w:val="004F67A8"/>
    <w:rsid w:val="005025B6"/>
    <w:rsid w:val="00520910"/>
    <w:rsid w:val="005219E3"/>
    <w:rsid w:val="00523918"/>
    <w:rsid w:val="005334A3"/>
    <w:rsid w:val="005355A0"/>
    <w:rsid w:val="00541903"/>
    <w:rsid w:val="00545B8E"/>
    <w:rsid w:val="00550F87"/>
    <w:rsid w:val="00560772"/>
    <w:rsid w:val="00563457"/>
    <w:rsid w:val="00563DFF"/>
    <w:rsid w:val="00566C80"/>
    <w:rsid w:val="0057496F"/>
    <w:rsid w:val="00576B0A"/>
    <w:rsid w:val="00577975"/>
    <w:rsid w:val="00593294"/>
    <w:rsid w:val="005A5DAE"/>
    <w:rsid w:val="005A6D9D"/>
    <w:rsid w:val="005B2A26"/>
    <w:rsid w:val="005D66A3"/>
    <w:rsid w:val="005F15C9"/>
    <w:rsid w:val="005F6222"/>
    <w:rsid w:val="0060684C"/>
    <w:rsid w:val="00606ECD"/>
    <w:rsid w:val="00635AA6"/>
    <w:rsid w:val="00642EC0"/>
    <w:rsid w:val="006472EC"/>
    <w:rsid w:val="006826B5"/>
    <w:rsid w:val="006976F3"/>
    <w:rsid w:val="006A6D80"/>
    <w:rsid w:val="006B7B07"/>
    <w:rsid w:val="006C1B51"/>
    <w:rsid w:val="006D27AF"/>
    <w:rsid w:val="006E3C4E"/>
    <w:rsid w:val="00706D52"/>
    <w:rsid w:val="0072220B"/>
    <w:rsid w:val="00722F3F"/>
    <w:rsid w:val="00726456"/>
    <w:rsid w:val="00730A41"/>
    <w:rsid w:val="00730C18"/>
    <w:rsid w:val="00733FE6"/>
    <w:rsid w:val="0073767D"/>
    <w:rsid w:val="00757FAE"/>
    <w:rsid w:val="00787EB7"/>
    <w:rsid w:val="007A579A"/>
    <w:rsid w:val="007C2543"/>
    <w:rsid w:val="007F3756"/>
    <w:rsid w:val="007F3FA7"/>
    <w:rsid w:val="00802B7A"/>
    <w:rsid w:val="00806976"/>
    <w:rsid w:val="00807B68"/>
    <w:rsid w:val="00820B84"/>
    <w:rsid w:val="0083187F"/>
    <w:rsid w:val="00835E7F"/>
    <w:rsid w:val="00842DCE"/>
    <w:rsid w:val="008530D3"/>
    <w:rsid w:val="00862AED"/>
    <w:rsid w:val="008A1269"/>
    <w:rsid w:val="008A253C"/>
    <w:rsid w:val="008A5629"/>
    <w:rsid w:val="008B3972"/>
    <w:rsid w:val="008B7AAD"/>
    <w:rsid w:val="008C3A72"/>
    <w:rsid w:val="008D26C9"/>
    <w:rsid w:val="0090366B"/>
    <w:rsid w:val="009041A0"/>
    <w:rsid w:val="009079D0"/>
    <w:rsid w:val="00907F0F"/>
    <w:rsid w:val="009251F5"/>
    <w:rsid w:val="00963856"/>
    <w:rsid w:val="00970571"/>
    <w:rsid w:val="00970825"/>
    <w:rsid w:val="00993D18"/>
    <w:rsid w:val="0099418E"/>
    <w:rsid w:val="009A20E3"/>
    <w:rsid w:val="009C369C"/>
    <w:rsid w:val="009D1203"/>
    <w:rsid w:val="009D28A7"/>
    <w:rsid w:val="009D6FB0"/>
    <w:rsid w:val="009E0084"/>
    <w:rsid w:val="009E4390"/>
    <w:rsid w:val="009E5376"/>
    <w:rsid w:val="00A03A20"/>
    <w:rsid w:val="00A1403D"/>
    <w:rsid w:val="00A36D9C"/>
    <w:rsid w:val="00A556B9"/>
    <w:rsid w:val="00A62A8E"/>
    <w:rsid w:val="00A62CA3"/>
    <w:rsid w:val="00A8662B"/>
    <w:rsid w:val="00A9329C"/>
    <w:rsid w:val="00AA52B6"/>
    <w:rsid w:val="00AB112B"/>
    <w:rsid w:val="00AB3021"/>
    <w:rsid w:val="00AC7506"/>
    <w:rsid w:val="00AD227B"/>
    <w:rsid w:val="00AD4ADF"/>
    <w:rsid w:val="00AD5B32"/>
    <w:rsid w:val="00AE3524"/>
    <w:rsid w:val="00AE5E67"/>
    <w:rsid w:val="00B01DE4"/>
    <w:rsid w:val="00B101C1"/>
    <w:rsid w:val="00B13189"/>
    <w:rsid w:val="00B15D2E"/>
    <w:rsid w:val="00B32E5B"/>
    <w:rsid w:val="00B36B97"/>
    <w:rsid w:val="00B4188D"/>
    <w:rsid w:val="00B42090"/>
    <w:rsid w:val="00B458ED"/>
    <w:rsid w:val="00B460F3"/>
    <w:rsid w:val="00B473E3"/>
    <w:rsid w:val="00B543C6"/>
    <w:rsid w:val="00B71785"/>
    <w:rsid w:val="00B71F4F"/>
    <w:rsid w:val="00B72198"/>
    <w:rsid w:val="00B77BE6"/>
    <w:rsid w:val="00B8064C"/>
    <w:rsid w:val="00B92C52"/>
    <w:rsid w:val="00B96172"/>
    <w:rsid w:val="00BA4F60"/>
    <w:rsid w:val="00BA5FF4"/>
    <w:rsid w:val="00BA69F4"/>
    <w:rsid w:val="00BC24D2"/>
    <w:rsid w:val="00BC61F6"/>
    <w:rsid w:val="00BC678C"/>
    <w:rsid w:val="00C00527"/>
    <w:rsid w:val="00C013FE"/>
    <w:rsid w:val="00C17E18"/>
    <w:rsid w:val="00C3139C"/>
    <w:rsid w:val="00C33BDB"/>
    <w:rsid w:val="00C3523B"/>
    <w:rsid w:val="00C7774C"/>
    <w:rsid w:val="00C82AE4"/>
    <w:rsid w:val="00C838D2"/>
    <w:rsid w:val="00C95E17"/>
    <w:rsid w:val="00CA2FDE"/>
    <w:rsid w:val="00CA40D1"/>
    <w:rsid w:val="00CA5313"/>
    <w:rsid w:val="00CA761C"/>
    <w:rsid w:val="00CB27AF"/>
    <w:rsid w:val="00CB53C0"/>
    <w:rsid w:val="00CC1646"/>
    <w:rsid w:val="00CC2E7B"/>
    <w:rsid w:val="00CC5CDD"/>
    <w:rsid w:val="00CD1224"/>
    <w:rsid w:val="00CD1530"/>
    <w:rsid w:val="00CD33E8"/>
    <w:rsid w:val="00CE0D1E"/>
    <w:rsid w:val="00CE1F98"/>
    <w:rsid w:val="00CF29FC"/>
    <w:rsid w:val="00CF626D"/>
    <w:rsid w:val="00D04DBE"/>
    <w:rsid w:val="00D25170"/>
    <w:rsid w:val="00D30871"/>
    <w:rsid w:val="00D439EC"/>
    <w:rsid w:val="00D45292"/>
    <w:rsid w:val="00D51AF9"/>
    <w:rsid w:val="00D526F7"/>
    <w:rsid w:val="00D64439"/>
    <w:rsid w:val="00D71094"/>
    <w:rsid w:val="00D735A5"/>
    <w:rsid w:val="00D776C9"/>
    <w:rsid w:val="00D9317B"/>
    <w:rsid w:val="00DA2133"/>
    <w:rsid w:val="00DA77A9"/>
    <w:rsid w:val="00DA7E82"/>
    <w:rsid w:val="00DC38A8"/>
    <w:rsid w:val="00DC6AE7"/>
    <w:rsid w:val="00DD1008"/>
    <w:rsid w:val="00DD139C"/>
    <w:rsid w:val="00DD4E28"/>
    <w:rsid w:val="00DD5D29"/>
    <w:rsid w:val="00DE51DC"/>
    <w:rsid w:val="00DF59CD"/>
    <w:rsid w:val="00DF7DC8"/>
    <w:rsid w:val="00E10DB7"/>
    <w:rsid w:val="00E211BB"/>
    <w:rsid w:val="00E24066"/>
    <w:rsid w:val="00E26DE5"/>
    <w:rsid w:val="00E278B5"/>
    <w:rsid w:val="00E573ED"/>
    <w:rsid w:val="00E62BD3"/>
    <w:rsid w:val="00E711ED"/>
    <w:rsid w:val="00E86CEB"/>
    <w:rsid w:val="00E92B63"/>
    <w:rsid w:val="00E92FBD"/>
    <w:rsid w:val="00EA12FA"/>
    <w:rsid w:val="00EA6006"/>
    <w:rsid w:val="00EB22B7"/>
    <w:rsid w:val="00EB3837"/>
    <w:rsid w:val="00EB65C0"/>
    <w:rsid w:val="00EC2568"/>
    <w:rsid w:val="00ED0956"/>
    <w:rsid w:val="00EE4E4F"/>
    <w:rsid w:val="00EE50E4"/>
    <w:rsid w:val="00EF4B48"/>
    <w:rsid w:val="00EF6A33"/>
    <w:rsid w:val="00F025F2"/>
    <w:rsid w:val="00F064D3"/>
    <w:rsid w:val="00F2300D"/>
    <w:rsid w:val="00F2336C"/>
    <w:rsid w:val="00F42BF9"/>
    <w:rsid w:val="00F43D45"/>
    <w:rsid w:val="00F558C5"/>
    <w:rsid w:val="00F57551"/>
    <w:rsid w:val="00F6527E"/>
    <w:rsid w:val="00F659F0"/>
    <w:rsid w:val="00F66A9F"/>
    <w:rsid w:val="00F72287"/>
    <w:rsid w:val="00F74E2D"/>
    <w:rsid w:val="00F9358F"/>
    <w:rsid w:val="00F97547"/>
    <w:rsid w:val="00FA5751"/>
    <w:rsid w:val="00FC02B0"/>
    <w:rsid w:val="00FC2ABC"/>
    <w:rsid w:val="00FE04EA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A21"/>
  <w15:docId w15:val="{A496DA39-6EE9-452D-911E-F0152AF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B6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4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26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59C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DF59CD"/>
    <w:rPr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DF59C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DF59CD"/>
    <w:rPr>
      <w:sz w:val="22"/>
      <w:szCs w:val="22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rsid w:val="000B01E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72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22F3F"/>
    <w:rPr>
      <w:rFonts w:ascii="Segoe UI" w:hAnsi="Segoe UI" w:cs="Segoe UI"/>
      <w:sz w:val="18"/>
      <w:szCs w:val="1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4428D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paragraph" w:styleId="aa">
    <w:name w:val="No Spacing"/>
    <w:uiPriority w:val="1"/>
    <w:qFormat/>
    <w:rsid w:val="004428D9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442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2F3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2F33B1"/>
  </w:style>
  <w:style w:type="paragraph" w:styleId="ac">
    <w:name w:val="Body Text Indent"/>
    <w:basedOn w:val="a"/>
    <w:link w:val="ad"/>
    <w:rsid w:val="00213DBE"/>
    <w:pPr>
      <w:shd w:val="clear" w:color="auto" w:fill="FFFFFF"/>
      <w:spacing w:before="120" w:after="120" w:line="240" w:lineRule="auto"/>
      <w:ind w:right="-185" w:firstLine="708"/>
      <w:jc w:val="both"/>
    </w:pPr>
    <w:rPr>
      <w:rFonts w:ascii="Times New Roman" w:eastAsia="Times New Roman" w:hAnsi="Times New Roman" w:cs="Antiqua"/>
      <w:sz w:val="28"/>
      <w:szCs w:val="26"/>
      <w:lang w:val="uk-UA" w:eastAsia="ru-RU"/>
    </w:rPr>
  </w:style>
  <w:style w:type="character" w:customStyle="1" w:styleId="ad">
    <w:name w:val="Основний текст з відступом Знак"/>
    <w:basedOn w:val="a0"/>
    <w:link w:val="ac"/>
    <w:rsid w:val="00213DBE"/>
    <w:rPr>
      <w:rFonts w:ascii="Times New Roman" w:eastAsia="Times New Roman" w:hAnsi="Times New Roman" w:cs="Antiqua"/>
      <w:sz w:val="28"/>
      <w:szCs w:val="26"/>
      <w:shd w:val="clear" w:color="auto" w:fill="FFFFFF"/>
      <w:lang w:eastAsia="ru-RU"/>
    </w:rPr>
  </w:style>
  <w:style w:type="paragraph" w:customStyle="1" w:styleId="ae">
    <w:name w:val="Нормальний текст"/>
    <w:basedOn w:val="a"/>
    <w:rsid w:val="00635AA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rsid w:val="000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rsid w:val="00004FB6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F57551"/>
  </w:style>
  <w:style w:type="paragraph" w:customStyle="1" w:styleId="xfmc1">
    <w:name w:val="xfmc1"/>
    <w:basedOn w:val="a"/>
    <w:rsid w:val="008A2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E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5191</Words>
  <Characters>2960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служба з питань інвалідів та ветеранів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Шута В.М.</dc:creator>
  <cp:lastModifiedBy>Столярчук Ірина Валентинівна</cp:lastModifiedBy>
  <cp:revision>2</cp:revision>
  <cp:lastPrinted>2024-10-23T11:01:00Z</cp:lastPrinted>
  <dcterms:created xsi:type="dcterms:W3CDTF">2024-10-30T06:28:00Z</dcterms:created>
  <dcterms:modified xsi:type="dcterms:W3CDTF">2024-10-30T06:28:00Z</dcterms:modified>
</cp:coreProperties>
</file>