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pacing w:lineRule="auto" w:line="240" w:after="0" w:beforeAutospacing="0" w:afterAutospacing="0"/>
        <w:jc w:val="center"/>
        <w:rPr>
          <w:rFonts w:ascii="Times New Roman" w:hAnsi="Times New Roman"/>
          <w:sz w:val="27"/>
          <w:szCs w:val="27"/>
          <w:lang w:eastAsia="uk-UA"/>
        </w:rPr>
      </w:pPr>
      <w:r>
        <w:rPr>
          <w:rFonts w:ascii="Times New Roman" w:hAnsi="Times New Roman"/>
          <w:b w:val="1"/>
          <w:bCs w:val="1"/>
          <w:sz w:val="27"/>
          <w:szCs w:val="27"/>
          <w:lang w:eastAsia="uk-UA"/>
        </w:rPr>
        <w:t>ПОЯСНЮВАЛЬНА ЗАПИСКА</w:t>
      </w:r>
    </w:p>
    <w:p>
      <w:pPr>
        <w:spacing w:lineRule="auto" w:line="240" w:after="0" w:beforeAutospacing="0" w:afterAutospacing="0"/>
        <w:jc w:val="center"/>
        <w:rPr>
          <w:rFonts w:ascii="Times New Roman" w:hAnsi="Times New Roman"/>
          <w:b w:val="1"/>
          <w:bCs w:val="1"/>
          <w:sz w:val="27"/>
          <w:szCs w:val="27"/>
          <w:lang w:eastAsia="uk-UA"/>
        </w:rPr>
      </w:pPr>
      <w:r>
        <w:rPr>
          <w:rFonts w:ascii="Times New Roman" w:hAnsi="Times New Roman"/>
          <w:b w:val="1"/>
          <w:bCs w:val="1"/>
          <w:sz w:val="27"/>
          <w:szCs w:val="27"/>
          <w:lang w:eastAsia="uk-UA"/>
        </w:rPr>
        <w:t>до проекту постанови Кабінету Міністрів України “</w:t>
      </w:r>
      <w:r>
        <w:rPr>
          <w:rFonts w:ascii="Times New Roman" w:hAnsi="Times New Roman"/>
          <w:b w:val="1"/>
          <w:bCs w:val="1"/>
          <w:color w:val="000000"/>
          <w:sz w:val="27"/>
          <w:szCs w:val="27"/>
          <w:lang w:eastAsia="uk-UA"/>
        </w:rPr>
        <w:t xml:space="preserve">Деякі питання реалізації експериментального проекту щодо надання послуг з </w:t>
      </w:r>
      <w:bookmarkStart w:id="0" w:name="_Hlk211955716"/>
      <w:r>
        <w:rPr>
          <w:rFonts w:ascii="Times New Roman" w:hAnsi="Times New Roman"/>
          <w:b w:val="1"/>
          <w:color w:val="000000"/>
          <w:sz w:val="27"/>
          <w:szCs w:val="27"/>
          <w:lang w:eastAsia="uk-UA"/>
        </w:rPr>
        <w:t>корекції рубцевих змін шкіри</w:t>
      </w:r>
      <w:r>
        <w:rPr>
          <w:rFonts w:ascii="Times New Roman" w:hAnsi="Times New Roman"/>
          <w:b w:val="1"/>
          <w:bCs w:val="1"/>
          <w:color w:val="000000"/>
          <w:sz w:val="27"/>
          <w:szCs w:val="27"/>
          <w:lang w:eastAsia="uk-UA"/>
        </w:rPr>
        <w:t xml:space="preserve"> </w:t>
      </w:r>
      <w:r>
        <w:rPr>
          <w:rFonts w:ascii="Times New Roman" w:hAnsi="Times New Roman"/>
          <w:b w:val="1"/>
          <w:color w:val="000000"/>
          <w:sz w:val="27"/>
          <w:szCs w:val="27"/>
          <w:lang w:eastAsia="uk-UA"/>
        </w:rPr>
        <w:t xml:space="preserve">після травм, опіків </w:t>
      </w:r>
      <w:r>
        <w:rPr>
          <w:rFonts w:ascii="Times New Roman" w:hAnsi="Times New Roman"/>
          <w:b w:val="1"/>
          <w:bCs w:val="1"/>
          <w:color w:val="000000"/>
          <w:sz w:val="27"/>
          <w:szCs w:val="27"/>
          <w:lang w:eastAsia="uk-UA"/>
        </w:rPr>
        <w:t>окремим категоріям осіб, які захищали незалежність, суверенітет та територіальну цілісність України</w:t>
      </w:r>
      <w:bookmarkEnd w:id="0"/>
      <w:r>
        <w:rPr>
          <w:rFonts w:ascii="Times New Roman" w:hAnsi="Times New Roman"/>
          <w:b w:val="1"/>
          <w:bCs w:val="1"/>
          <w:sz w:val="27"/>
          <w:szCs w:val="27"/>
          <w:lang w:eastAsia="uk-UA"/>
        </w:rPr>
        <w:t>”</w:t>
      </w:r>
    </w:p>
    <w:p>
      <w:pPr>
        <w:spacing w:lineRule="auto" w:line="240" w:after="0" w:beforeAutospacing="0" w:afterAutospacing="0"/>
        <w:jc w:val="center"/>
        <w:rPr>
          <w:rFonts w:ascii="Times New Roman" w:hAnsi="Times New Roman"/>
          <w:sz w:val="27"/>
          <w:szCs w:val="27"/>
          <w:lang w:eastAsia="uk-UA"/>
        </w:rPr>
      </w:pPr>
    </w:p>
    <w:p>
      <w:pPr>
        <w:numPr>
          <w:ilvl w:val="0"/>
          <w:numId w:val="1"/>
        </w:numPr>
        <w:spacing w:lineRule="auto" w:line="240" w:after="0" w:beforeAutospacing="0" w:afterAutospacing="0"/>
        <w:ind w:left="927"/>
        <w:jc w:val="both"/>
        <w:rPr>
          <w:rFonts w:ascii="Times New Roman" w:hAnsi="Times New Roman"/>
          <w:b w:val="1"/>
          <w:bCs w:val="1"/>
          <w:sz w:val="27"/>
          <w:szCs w:val="27"/>
          <w:lang w:eastAsia="uk-UA"/>
        </w:rPr>
      </w:pPr>
      <w:r>
        <w:rPr>
          <w:rFonts w:ascii="Times New Roman" w:hAnsi="Times New Roman"/>
          <w:b w:val="1"/>
          <w:bCs w:val="1"/>
          <w:sz w:val="27"/>
          <w:szCs w:val="27"/>
          <w:lang w:eastAsia="uk-UA"/>
        </w:rPr>
        <w:t>Мета</w:t>
      </w:r>
    </w:p>
    <w:p>
      <w:pPr>
        <w:spacing w:lineRule="auto" w:line="240" w:after="0" w:beforeAutospacing="0" w:afterAutospacing="0"/>
        <w:ind w:firstLine="567"/>
        <w:jc w:val="both"/>
        <w:rPr>
          <w:rFonts w:ascii="Times New Roman" w:hAnsi="Times New Roman"/>
          <w:sz w:val="27"/>
          <w:szCs w:val="27"/>
          <w:lang w:eastAsia="uk-UA"/>
        </w:rPr>
      </w:pPr>
      <w:r>
        <w:rPr>
          <w:rFonts w:ascii="Times New Roman" w:hAnsi="Times New Roman"/>
          <w:sz w:val="27"/>
          <w:szCs w:val="27"/>
          <w:lang w:eastAsia="uk-UA"/>
        </w:rPr>
        <w:t xml:space="preserve">Метою прийняття акта </w:t>
      </w:r>
      <w:r>
        <w:rPr>
          <w:rFonts w:ascii="Times New Roman" w:hAnsi="Times New Roman"/>
          <w:sz w:val="27"/>
          <w:szCs w:val="27"/>
          <w:lang w:val="uk" w:eastAsia="uk"/>
        </w:rPr>
        <w:t xml:space="preserve">є забезпечення </w:t>
      </w:r>
      <w:r>
        <w:rPr>
          <w:rFonts w:ascii="Times New Roman" w:hAnsi="Times New Roman"/>
          <w:sz w:val="27"/>
          <w:szCs w:val="27"/>
          <w:lang w:eastAsia="uk-UA"/>
        </w:rPr>
        <w:t xml:space="preserve">надання послуг </w:t>
      </w:r>
      <w:r>
        <w:rPr>
          <w:rFonts w:ascii="Times New Roman" w:hAnsi="Times New Roman"/>
          <w:sz w:val="27"/>
          <w:szCs w:val="27"/>
          <w:lang w:val="uk" w:eastAsia="uk-UA"/>
        </w:rPr>
        <w:t xml:space="preserve">з </w:t>
      </w:r>
      <w:r>
        <w:rPr>
          <w:rFonts w:ascii="Times New Roman" w:hAnsi="Times New Roman"/>
          <w:sz w:val="27"/>
          <w:szCs w:val="27"/>
          <w:lang w:eastAsia="uk-UA"/>
        </w:rPr>
        <w:t xml:space="preserve">корекції </w:t>
      </w:r>
      <w:r>
        <w:rPr>
          <w:rFonts w:ascii="Times New Roman" w:hAnsi="Times New Roman"/>
          <w:sz w:val="27"/>
          <w:szCs w:val="27"/>
          <w:lang w:val="uk" w:eastAsia="uk-UA"/>
        </w:rPr>
        <w:t xml:space="preserve">рубцевих змін </w:t>
      </w:r>
      <w:r>
        <w:rPr>
          <w:rFonts w:ascii="Times New Roman" w:hAnsi="Times New Roman"/>
          <w:sz w:val="27"/>
          <w:szCs w:val="27"/>
          <w:lang w:eastAsia="uk-UA"/>
        </w:rPr>
        <w:t>шкіри після травм, опіків окремим категоріям осіб, які захищали незалежність, суверенітет та територіальну цілісність України,</w:t>
      </w:r>
      <w:r>
        <w:rPr>
          <w:rFonts w:ascii="Times New Roman" w:hAnsi="Times New Roman"/>
          <w:sz w:val="27"/>
          <w:szCs w:val="27"/>
          <w:lang w:val="uk" w:eastAsia="uk"/>
        </w:rPr>
        <w:t xml:space="preserve"> </w:t>
      </w:r>
      <w:r>
        <w:rPr>
          <w:rFonts w:ascii="Times New Roman" w:hAnsi="Times New Roman"/>
          <w:sz w:val="27"/>
          <w:szCs w:val="27"/>
          <w:lang w:eastAsia="uk"/>
        </w:rPr>
        <w:t>створення умов для їх соціальної адаптації та підвищення</w:t>
      </w:r>
      <w:bookmarkStart w:id="1" w:name="_GoBack"/>
      <w:bookmarkEnd w:id="1"/>
      <w:r>
        <w:rPr>
          <w:rFonts w:ascii="Times New Roman" w:hAnsi="Times New Roman"/>
          <w:sz w:val="27"/>
          <w:szCs w:val="27"/>
          <w:lang w:eastAsia="uk"/>
        </w:rPr>
        <w:t xml:space="preserve"> рівня якості життя таких осіб</w:t>
      </w:r>
      <w:r>
        <w:rPr>
          <w:rFonts w:ascii="Times New Roman" w:hAnsi="Times New Roman"/>
          <w:sz w:val="27"/>
          <w:szCs w:val="27"/>
          <w:lang w:eastAsia="uk-UA"/>
        </w:rPr>
        <w:t>, визначення обсягу та порядку надання зазначених послуг.</w:t>
      </w:r>
    </w:p>
    <w:p>
      <w:pPr>
        <w:spacing w:lineRule="auto" w:line="240" w:after="0" w:beforeAutospacing="0" w:afterAutospacing="0"/>
        <w:ind w:left="567"/>
        <w:rPr>
          <w:rFonts w:ascii="Times New Roman" w:hAnsi="Times New Roman"/>
          <w:b w:val="1"/>
          <w:bCs w:val="1"/>
          <w:sz w:val="27"/>
          <w:szCs w:val="27"/>
          <w:lang w:eastAsia="uk-UA"/>
        </w:rPr>
      </w:pPr>
    </w:p>
    <w:p>
      <w:pPr>
        <w:spacing w:lineRule="auto" w:line="240" w:after="0" w:beforeAutospacing="0" w:afterAutospacing="0"/>
        <w:ind w:left="567"/>
        <w:rPr>
          <w:rFonts w:ascii="Times New Roman" w:hAnsi="Times New Roman"/>
          <w:sz w:val="27"/>
          <w:szCs w:val="27"/>
          <w:lang w:eastAsia="uk-UA"/>
        </w:rPr>
      </w:pPr>
      <w:r>
        <w:rPr>
          <w:rFonts w:ascii="Times New Roman" w:hAnsi="Times New Roman"/>
          <w:b w:val="1"/>
          <w:bCs w:val="1"/>
          <w:sz w:val="27"/>
          <w:szCs w:val="27"/>
          <w:lang w:eastAsia="uk-UA"/>
        </w:rPr>
        <w:t>2. Обґрунтування необхідності прийняття акта</w:t>
      </w:r>
    </w:p>
    <w:p>
      <w:pPr>
        <w:spacing w:lineRule="auto" w:line="240" w:after="0" w:beforeAutospacing="0" w:afterAutospacing="0"/>
        <w:ind w:firstLine="567"/>
        <w:jc w:val="both"/>
        <w:rPr>
          <w:rFonts w:ascii="Times New Roman" w:hAnsi="Times New Roman"/>
          <w:sz w:val="27"/>
          <w:szCs w:val="27"/>
          <w:lang w:eastAsia="uk-UA"/>
        </w:rPr>
      </w:pPr>
      <w:r>
        <w:rPr>
          <w:rFonts w:ascii="Times New Roman" w:hAnsi="Times New Roman"/>
          <w:sz w:val="27"/>
          <w:szCs w:val="27"/>
          <w:lang w:eastAsia="uk-UA"/>
        </w:rPr>
        <w:t xml:space="preserve">Проєкт акта підготовлений на виконання пункту 225 Плану пріоритетних дій Уряду на 2025 рік, затвердженого розпорядженням Кабінету Міністрів України </w:t>
      </w:r>
      <w:r>
        <w:rPr>
          <w:rFonts w:ascii="Times New Roman" w:hAnsi="Times New Roman"/>
          <w:sz w:val="27"/>
          <w:szCs w:val="27"/>
          <w:lang w:eastAsia="uk-UA"/>
        </w:rPr>
        <w:br w:type="textWrapping"/>
      </w:r>
      <w:r>
        <w:rPr>
          <w:rFonts w:ascii="Times New Roman" w:hAnsi="Times New Roman"/>
          <w:sz w:val="27"/>
          <w:szCs w:val="27"/>
          <w:lang w:eastAsia="uk-UA"/>
        </w:rPr>
        <w:t>від 10 вересня 2025 р. № 1003-р.</w:t>
      </w:r>
    </w:p>
    <w:p>
      <w:pPr>
        <w:spacing w:lineRule="auto" w:line="240" w:after="0" w:beforeAutospacing="0" w:afterAutospacing="0"/>
        <w:ind w:firstLine="567"/>
        <w:jc w:val="both"/>
        <w:rPr>
          <w:rFonts w:ascii="Times New Roman" w:hAnsi="Times New Roman"/>
          <w:sz w:val="27"/>
          <w:szCs w:val="27"/>
          <w:lang w:eastAsia="uk-UA"/>
        </w:rPr>
      </w:pPr>
      <w:r>
        <w:rPr>
          <w:rFonts w:ascii="Times New Roman" w:hAnsi="Times New Roman"/>
          <w:sz w:val="27"/>
          <w:szCs w:val="27"/>
          <w:lang w:eastAsia="uk"/>
        </w:rPr>
        <w:t>Ветерани/ветеранки, які брали або беруть участь у захисті незалежності, суверенітету та територіальної цілісності України</w:t>
      </w:r>
      <w:r>
        <w:rPr>
          <w:rFonts w:ascii="Times New Roman" w:hAnsi="Times New Roman"/>
          <w:color w:val="EE0000"/>
          <w:sz w:val="27"/>
          <w:szCs w:val="27"/>
          <w:lang w:eastAsia="uk"/>
        </w:rPr>
        <w:t xml:space="preserve">, </w:t>
      </w:r>
      <w:r>
        <w:rPr>
          <w:rFonts w:ascii="Times New Roman" w:hAnsi="Times New Roman"/>
          <w:sz w:val="27"/>
          <w:szCs w:val="27"/>
          <w:lang w:eastAsia="uk"/>
        </w:rPr>
        <w:t>внаслідок поранень, травм, опіків або інших ушкоджень мають рубцеві зміни шкіри, що потребують корекції.</w:t>
      </w:r>
    </w:p>
    <w:p>
      <w:pPr>
        <w:spacing w:lineRule="auto" w:line="240" w:after="0" w:beforeAutospacing="0" w:afterAutospacing="0"/>
        <w:ind w:firstLine="567"/>
        <w:jc w:val="both"/>
        <w:rPr>
          <w:rFonts w:ascii="Times New Roman" w:hAnsi="Times New Roman"/>
          <w:sz w:val="27"/>
          <w:szCs w:val="27"/>
          <w:lang w:eastAsia="uk"/>
        </w:rPr>
      </w:pPr>
      <w:r>
        <w:rPr>
          <w:rFonts w:ascii="Times New Roman" w:hAnsi="Times New Roman"/>
          <w:sz w:val="27"/>
          <w:szCs w:val="27"/>
          <w:lang w:eastAsia="uk"/>
        </w:rPr>
        <w:t xml:space="preserve">Рубцеві зміни можуть включати функціонально значущі рубці, що обмежують рухливість, порушують фізіологічні функції, викликають хронічний больовий синдром, свербіж чи інший стійкий фізичний дискомфорт, патологічні рубці, які призводять до вторинних медичних ускладнень, рубцеві дефекти, що зумовлюють психологічні наслідки у вигляді невротичних, депресивних або посттравматичних стресових розладів, емоційного болю та нав’язливих спогадів про обставини отримання травми чи опіку. </w:t>
      </w:r>
    </w:p>
    <w:p>
      <w:pPr>
        <w:spacing w:lineRule="auto" w:line="240" w:after="0" w:beforeAutospacing="0" w:afterAutospacing="0"/>
        <w:ind w:firstLine="567"/>
        <w:jc w:val="both"/>
        <w:rPr>
          <w:rFonts w:ascii="Times New Roman" w:hAnsi="Times New Roman"/>
          <w:color w:val="000000"/>
          <w:sz w:val="27"/>
          <w:szCs w:val="27"/>
        </w:rPr>
      </w:pPr>
      <w:r>
        <w:rPr>
          <w:rFonts w:ascii="Times New Roman" w:hAnsi="Times New Roman"/>
          <w:sz w:val="27"/>
          <w:szCs w:val="27"/>
          <w:lang w:eastAsia="uk"/>
        </w:rPr>
        <w:t>Крім цього існують випадки, коли рубцеві зміни мають виражений естетичний характер та викликають несприйняття власної зовнішності, зниження самооцінки, втрату соціальної активності та тенденцію до самоізоляції, вони розглядаються як такі, що створюють ризик подальшої психопатологізації особи, у тому числі з розвитком тяжчих форм психічних розладів.</w:t>
      </w:r>
    </w:p>
    <w:p>
      <w:pPr>
        <w:spacing w:lineRule="auto" w:line="240" w:after="0" w:beforeAutospacing="0" w:afterAutospacing="0"/>
        <w:ind w:firstLine="567"/>
        <w:jc w:val="both"/>
        <w:rPr>
          <w:rFonts w:ascii="Times New Roman" w:hAnsi="Times New Roman"/>
          <w:strike w:val="1"/>
          <w:sz w:val="27"/>
          <w:szCs w:val="27"/>
        </w:rPr>
      </w:pPr>
      <w:r>
        <w:rPr>
          <w:rFonts w:ascii="Times New Roman" w:hAnsi="Times New Roman"/>
          <w:sz w:val="27"/>
          <w:szCs w:val="27"/>
        </w:rPr>
        <w:t xml:space="preserve">Тому надання </w:t>
      </w:r>
      <w:r>
        <w:rPr>
          <w:rFonts w:ascii="Times New Roman" w:hAnsi="Times New Roman"/>
          <w:sz w:val="27"/>
          <w:szCs w:val="27"/>
          <w:lang w:eastAsia="uk-UA"/>
        </w:rPr>
        <w:t xml:space="preserve">послуг </w:t>
      </w:r>
      <w:r>
        <w:rPr>
          <w:rFonts w:ascii="Times New Roman" w:hAnsi="Times New Roman"/>
          <w:sz w:val="27"/>
          <w:szCs w:val="27"/>
          <w:lang w:val="uk" w:eastAsia="uk-UA"/>
        </w:rPr>
        <w:t xml:space="preserve">з </w:t>
      </w:r>
      <w:r>
        <w:rPr>
          <w:rFonts w:ascii="Times New Roman" w:hAnsi="Times New Roman"/>
          <w:sz w:val="27"/>
          <w:szCs w:val="27"/>
          <w:lang w:eastAsia="uk-UA"/>
        </w:rPr>
        <w:t xml:space="preserve">корекції </w:t>
      </w:r>
      <w:r>
        <w:rPr>
          <w:rFonts w:ascii="Times New Roman" w:hAnsi="Times New Roman"/>
          <w:sz w:val="27"/>
          <w:szCs w:val="27"/>
          <w:lang w:val="uk" w:eastAsia="uk-UA"/>
        </w:rPr>
        <w:t xml:space="preserve">рубцевих змін </w:t>
      </w:r>
      <w:r>
        <w:rPr>
          <w:rFonts w:ascii="Times New Roman" w:hAnsi="Times New Roman"/>
          <w:sz w:val="27"/>
          <w:szCs w:val="27"/>
          <w:lang w:eastAsia="uk-UA"/>
        </w:rPr>
        <w:t xml:space="preserve">шкіри, зумовлених дією </w:t>
      </w:r>
      <w:r>
        <w:rPr>
          <w:rFonts w:ascii="Times New Roman" w:hAnsi="Times New Roman"/>
          <w:sz w:val="27"/>
          <w:szCs w:val="27"/>
        </w:rPr>
        <w:t>термічного, електротермічного, хімічного, механічного чинників</w:t>
      </w:r>
      <w:r>
        <w:rPr>
          <w:rFonts w:ascii="Times New Roman" w:hAnsi="Times New Roman"/>
          <w:sz w:val="27"/>
          <w:szCs w:val="27"/>
          <w:lang w:eastAsia="uk-UA"/>
        </w:rPr>
        <w:t xml:space="preserve"> окремим категоріям осіб, які захищали незалежність, суверенітет та територіальну цілісність України,</w:t>
      </w:r>
      <w:r>
        <w:rPr>
          <w:rFonts w:ascii="Times New Roman" w:hAnsi="Times New Roman"/>
          <w:sz w:val="27"/>
          <w:szCs w:val="27"/>
        </w:rPr>
        <w:t xml:space="preserve"> спрямоване на забезпечення вчасної і якісної медичної допомоги.</w:t>
      </w:r>
    </w:p>
    <w:p>
      <w:pPr>
        <w:spacing w:lineRule="auto" w:line="240" w:after="0" w:beforeAutospacing="0" w:afterAutospacing="0"/>
        <w:rPr>
          <w:rFonts w:ascii="Times New Roman" w:hAnsi="Times New Roman"/>
          <w:sz w:val="27"/>
          <w:szCs w:val="27"/>
          <w:lang w:eastAsia="uk-UA"/>
        </w:rPr>
      </w:pPr>
    </w:p>
    <w:p>
      <w:pPr>
        <w:spacing w:lineRule="auto" w:line="240" w:after="0" w:beforeAutospacing="0" w:afterAutospacing="0"/>
        <w:ind w:firstLine="567"/>
        <w:jc w:val="both"/>
        <w:rPr>
          <w:rFonts w:ascii="Times New Roman" w:hAnsi="Times New Roman"/>
          <w:sz w:val="27"/>
          <w:szCs w:val="27"/>
          <w:lang w:eastAsia="uk-UA"/>
        </w:rPr>
      </w:pPr>
      <w:r>
        <w:rPr>
          <w:rFonts w:ascii="Times New Roman" w:hAnsi="Times New Roman"/>
          <w:b w:val="1"/>
          <w:bCs w:val="1"/>
          <w:sz w:val="27"/>
          <w:szCs w:val="27"/>
          <w:lang w:eastAsia="uk-UA"/>
        </w:rPr>
        <w:t>3. Основні положення проекту акта</w:t>
      </w:r>
    </w:p>
    <w:p>
      <w:pPr>
        <w:spacing w:lineRule="auto" w:line="240" w:after="0" w:beforeAutospacing="0" w:afterAutospacing="0"/>
        <w:ind w:firstLine="567"/>
        <w:jc w:val="both"/>
        <w:rPr>
          <w:rFonts w:ascii="Times New Roman" w:hAnsi="Times New Roman"/>
          <w:sz w:val="27"/>
          <w:szCs w:val="27"/>
          <w:lang w:eastAsia="uk-UA"/>
        </w:rPr>
      </w:pPr>
      <w:r>
        <w:rPr>
          <w:rFonts w:ascii="Times New Roman" w:hAnsi="Times New Roman"/>
          <w:sz w:val="27"/>
          <w:szCs w:val="27"/>
          <w:lang w:eastAsia="uk-UA"/>
        </w:rPr>
        <w:t xml:space="preserve">Проектом акта пропонується затвердити Порядок реалізації експериментального проекту </w:t>
      </w:r>
      <w:r>
        <w:rPr>
          <w:rFonts w:ascii="Times New Roman" w:hAnsi="Times New Roman"/>
          <w:bCs w:val="1"/>
          <w:color w:val="000000"/>
          <w:sz w:val="27"/>
          <w:szCs w:val="27"/>
          <w:lang w:eastAsia="uk-UA"/>
        </w:rPr>
        <w:t>щодо надання послуг з</w:t>
      </w:r>
      <w:r>
        <w:rPr>
          <w:rFonts w:ascii="Times New Roman" w:hAnsi="Times New Roman"/>
          <w:color w:val="000000"/>
          <w:sz w:val="27"/>
          <w:szCs w:val="27"/>
          <w:lang w:val="uk" w:eastAsia="uk-UA"/>
        </w:rPr>
        <w:t xml:space="preserve"> </w:t>
      </w:r>
      <w:bookmarkStart w:id="2" w:name="_Hlk209187950"/>
      <w:r>
        <w:rPr>
          <w:rFonts w:ascii="Times New Roman" w:hAnsi="Times New Roman"/>
          <w:color w:val="000000"/>
          <w:sz w:val="27"/>
          <w:szCs w:val="27"/>
          <w:lang w:eastAsia="uk-UA"/>
        </w:rPr>
        <w:t xml:space="preserve">корекції </w:t>
      </w:r>
      <w:r>
        <w:rPr>
          <w:rFonts w:ascii="Times New Roman" w:hAnsi="Times New Roman"/>
          <w:color w:val="000000"/>
          <w:sz w:val="27"/>
          <w:szCs w:val="27"/>
          <w:lang w:val="uk" w:eastAsia="uk-UA"/>
        </w:rPr>
        <w:t xml:space="preserve">рубцевих змін </w:t>
      </w:r>
      <w:r>
        <w:rPr>
          <w:rFonts w:ascii="Times New Roman" w:hAnsi="Times New Roman"/>
          <w:color w:val="000000"/>
          <w:sz w:val="27"/>
          <w:szCs w:val="27"/>
          <w:lang w:eastAsia="uk-UA"/>
        </w:rPr>
        <w:t>шкіри</w:t>
      </w:r>
      <w:bookmarkEnd w:id="2"/>
      <w:r>
        <w:rPr>
          <w:rFonts w:ascii="Times New Roman" w:hAnsi="Times New Roman"/>
          <w:color w:val="000000"/>
          <w:sz w:val="27"/>
          <w:szCs w:val="27"/>
          <w:lang w:eastAsia="uk-UA"/>
        </w:rPr>
        <w:t xml:space="preserve"> після травм, опіків </w:t>
      </w:r>
      <w:r>
        <w:rPr>
          <w:rFonts w:ascii="Times New Roman" w:hAnsi="Times New Roman"/>
          <w:sz w:val="27"/>
          <w:szCs w:val="27"/>
          <w:lang w:eastAsia="uk-UA"/>
        </w:rPr>
        <w:t>окремим категоріям осіб, які захищали незалежність, суверенітет та територіальну цілісність України.</w:t>
      </w:r>
    </w:p>
    <w:p>
      <w:pPr>
        <w:spacing w:lineRule="auto" w:line="240" w:after="0" w:beforeAutospacing="0" w:afterAutospacing="0"/>
        <w:rPr>
          <w:rFonts w:ascii="Times New Roman" w:hAnsi="Times New Roman"/>
          <w:sz w:val="27"/>
          <w:szCs w:val="27"/>
          <w:lang w:eastAsia="uk-UA"/>
        </w:rPr>
      </w:pPr>
    </w:p>
    <w:p>
      <w:pPr>
        <w:keepNext w:val="1"/>
        <w:spacing w:lineRule="auto" w:line="240" w:after="0" w:beforeAutospacing="0" w:afterAutospacing="0"/>
        <w:ind w:firstLine="567"/>
        <w:jc w:val="both"/>
        <w:rPr>
          <w:rFonts w:ascii="Times New Roman" w:hAnsi="Times New Roman"/>
          <w:b w:val="1"/>
          <w:bCs w:val="1"/>
          <w:sz w:val="27"/>
          <w:szCs w:val="27"/>
          <w:lang w:eastAsia="uk-UA"/>
        </w:rPr>
      </w:pPr>
      <w:r>
        <w:rPr>
          <w:rFonts w:ascii="Times New Roman" w:hAnsi="Times New Roman"/>
          <w:b w:val="1"/>
          <w:bCs w:val="1"/>
          <w:sz w:val="27"/>
          <w:szCs w:val="27"/>
          <w:lang w:eastAsia="uk-UA"/>
        </w:rPr>
        <w:t>4. Правові аспекти</w:t>
      </w:r>
    </w:p>
    <w:p>
      <w:pPr>
        <w:spacing w:lineRule="auto" w:line="240" w:after="0" w:beforeAutospacing="0" w:afterAutospacing="0"/>
        <w:ind w:firstLine="567"/>
        <w:jc w:val="both"/>
        <w:rPr>
          <w:rFonts w:ascii="Times New Roman" w:hAnsi="Times New Roman"/>
          <w:sz w:val="27"/>
          <w:szCs w:val="27"/>
          <w:lang w:eastAsia="uk-UA"/>
        </w:rPr>
      </w:pPr>
      <w:r>
        <w:rPr>
          <w:rFonts w:ascii="Times New Roman" w:hAnsi="Times New Roman"/>
          <w:sz w:val="27"/>
          <w:szCs w:val="27"/>
          <w:lang w:eastAsia="uk-UA"/>
        </w:rPr>
        <w:t>Нормативно-правовими актами у цій сфері правового регулювання є: Закони України “Про соціальний і правовий захист військовослужбовців та членів їх сімей”, “Про статус ветеранів війни, гарантії їх соціального захисту” та інші нормативно-правові акти з питань організації та надання медичних послуг.</w:t>
      </w:r>
    </w:p>
    <w:p>
      <w:pPr>
        <w:spacing w:lineRule="auto" w:line="240" w:after="0" w:beforeAutospacing="0" w:afterAutospacing="0"/>
        <w:rPr>
          <w:rFonts w:ascii="Times New Roman" w:hAnsi="Times New Roman"/>
          <w:sz w:val="27"/>
          <w:szCs w:val="27"/>
          <w:lang w:eastAsia="uk-UA"/>
        </w:rPr>
      </w:pPr>
    </w:p>
    <w:p>
      <w:pPr>
        <w:spacing w:lineRule="auto" w:line="240" w:after="0" w:beforeAutospacing="0" w:afterAutospacing="0"/>
        <w:ind w:firstLine="567"/>
        <w:jc w:val="both"/>
        <w:rPr>
          <w:rFonts w:ascii="Times New Roman" w:hAnsi="Times New Roman"/>
          <w:sz w:val="27"/>
          <w:szCs w:val="27"/>
          <w:lang w:eastAsia="uk-UA"/>
        </w:rPr>
      </w:pPr>
      <w:r>
        <w:rPr>
          <w:rFonts w:ascii="Times New Roman" w:hAnsi="Times New Roman"/>
          <w:b w:val="1"/>
          <w:bCs w:val="1"/>
          <w:sz w:val="27"/>
          <w:szCs w:val="27"/>
          <w:lang w:eastAsia="uk-UA"/>
        </w:rPr>
        <w:t>5. Фінансово-економічне обґрунтування</w:t>
      </w:r>
    </w:p>
    <w:p>
      <w:pPr>
        <w:spacing w:lineRule="auto" w:line="240" w:after="0" w:beforeAutospacing="0" w:afterAutospacing="0"/>
        <w:ind w:firstLine="567"/>
        <w:jc w:val="both"/>
        <w:rPr>
          <w:rFonts w:ascii="Times New Roman" w:hAnsi="Times New Roman"/>
          <w:sz w:val="27"/>
          <w:szCs w:val="27"/>
          <w:lang w:eastAsia="uk-UA"/>
        </w:rPr>
      </w:pPr>
      <w:r>
        <w:rPr>
          <w:rFonts w:ascii="Times New Roman" w:hAnsi="Times New Roman"/>
          <w:sz w:val="27"/>
          <w:szCs w:val="27"/>
          <w:lang w:eastAsia="uk-UA"/>
        </w:rPr>
        <w:t>Реалізація акта у 2026 році не потребуватиме додаткових видатків із державного бюджету.</w:t>
      </w:r>
    </w:p>
    <w:p>
      <w:pPr>
        <w:spacing w:lineRule="auto" w:line="240" w:after="0" w:beforeAutospacing="0" w:afterAutospacing="0"/>
        <w:ind w:firstLine="567"/>
        <w:jc w:val="both"/>
        <w:rPr>
          <w:rFonts w:ascii="Times New Roman" w:hAnsi="Times New Roman"/>
          <w:sz w:val="27"/>
          <w:szCs w:val="27"/>
          <w:lang w:eastAsia="uk-UA"/>
        </w:rPr>
      </w:pPr>
      <w:r>
        <w:rPr>
          <w:rFonts w:ascii="Times New Roman" w:hAnsi="Times New Roman"/>
          <w:sz w:val="27"/>
          <w:szCs w:val="27"/>
          <w:shd w:val="clear" w:color="auto" w:fill="FFFFFF"/>
          <w:lang w:eastAsia="uk-UA"/>
        </w:rPr>
        <w:t>Фінансово-економічні розрахунки додаються.</w:t>
      </w:r>
    </w:p>
    <w:p>
      <w:pPr>
        <w:spacing w:lineRule="auto" w:line="240" w:after="0" w:beforeAutospacing="0" w:afterAutospacing="0"/>
        <w:ind w:firstLine="567"/>
        <w:jc w:val="both"/>
        <w:rPr>
          <w:rFonts w:ascii="Times New Roman" w:hAnsi="Times New Roman"/>
          <w:sz w:val="27"/>
          <w:szCs w:val="27"/>
          <w:lang w:eastAsia="uk-UA"/>
        </w:rPr>
      </w:pPr>
    </w:p>
    <w:p>
      <w:pPr>
        <w:spacing w:lineRule="auto" w:line="240" w:after="0" w:beforeAutospacing="0" w:afterAutospacing="0"/>
        <w:ind w:firstLine="567"/>
        <w:jc w:val="both"/>
        <w:rPr>
          <w:rFonts w:ascii="Times New Roman" w:hAnsi="Times New Roman"/>
          <w:b w:val="1"/>
          <w:bCs w:val="1"/>
          <w:sz w:val="27"/>
          <w:szCs w:val="27"/>
          <w:lang w:eastAsia="uk-UA"/>
        </w:rPr>
      </w:pPr>
      <w:r>
        <w:rPr>
          <w:rFonts w:ascii="Times New Roman" w:hAnsi="Times New Roman"/>
          <w:b w:val="1"/>
          <w:bCs w:val="1"/>
          <w:sz w:val="27"/>
          <w:szCs w:val="27"/>
          <w:lang w:eastAsia="uk-UA"/>
        </w:rPr>
        <w:t>6. Позиція заінтересованих сторін</w:t>
      </w:r>
    </w:p>
    <w:p>
      <w:pPr>
        <w:spacing w:lineRule="auto" w:line="240" w:after="0" w:beforeAutospacing="0" w:afterAutospacing="0"/>
        <w:ind w:firstLine="567"/>
        <w:jc w:val="both"/>
        <w:rPr>
          <w:rFonts w:ascii="Times New Roman" w:hAnsi="Times New Roman"/>
          <w:sz w:val="27"/>
          <w:szCs w:val="27"/>
          <w:lang w:eastAsia="uk-UA"/>
        </w:rPr>
      </w:pPr>
      <w:r>
        <w:rPr>
          <w:rFonts w:ascii="Times New Roman" w:hAnsi="Times New Roman"/>
          <w:sz w:val="27"/>
          <w:szCs w:val="27"/>
          <w:lang w:eastAsia="uk-UA"/>
        </w:rPr>
        <w:t>Проект акта потребує погодження з Мінфіном, Мінекономіки, Мінцифри, Мінсоцполітики, МОЗ, Міноборони, МВС, Уповноваженим Верховної Ради з прав людини, НСЗУ, СБУ, Національною поліцією, Національною гвардією, Держприкордонслужбою, ДСНС та проведення правової експертизи Мін’юстом.</w:t>
      </w:r>
    </w:p>
    <w:p>
      <w:pPr>
        <w:spacing w:lineRule="auto" w:line="240" w:after="0" w:beforeAutospacing="0" w:afterAutospacing="0"/>
        <w:ind w:firstLine="567"/>
        <w:jc w:val="both"/>
        <w:rPr>
          <w:rFonts w:ascii="Times New Roman" w:hAnsi="Times New Roman"/>
          <w:sz w:val="27"/>
          <w:szCs w:val="27"/>
          <w:lang w:eastAsia="uk-UA"/>
        </w:rPr>
      </w:pPr>
      <w:r>
        <w:rPr>
          <w:rFonts w:ascii="Times New Roman" w:hAnsi="Times New Roman"/>
          <w:sz w:val="27"/>
          <w:szCs w:val="27"/>
          <w:lang w:eastAsia="uk-UA"/>
        </w:rPr>
        <w:t>Проект акта не стосується питань сфери наукової та науково-технічної діяльності, у зв’язку з чим не потребує погодження Науковим комітетом Національної ради України з питань розвитку науки і технологій.</w:t>
      </w:r>
    </w:p>
    <w:p>
      <w:pPr>
        <w:spacing w:lineRule="auto" w:line="240" w:after="0" w:beforeAutospacing="0" w:afterAutospacing="0"/>
        <w:ind w:firstLine="567"/>
        <w:jc w:val="both"/>
        <w:rPr>
          <w:rFonts w:ascii="Times New Roman" w:hAnsi="Times New Roman"/>
          <w:sz w:val="27"/>
          <w:szCs w:val="27"/>
          <w:lang w:eastAsia="uk-UA"/>
        </w:rPr>
      </w:pPr>
      <w:r>
        <w:rPr>
          <w:rFonts w:ascii="Times New Roman" w:hAnsi="Times New Roman"/>
          <w:sz w:val="27"/>
          <w:szCs w:val="27"/>
          <w:lang w:eastAsia="uk-UA"/>
        </w:rPr>
        <w:t>Проект акта потребує громадського обговорення.</w:t>
      </w:r>
    </w:p>
    <w:p>
      <w:pPr>
        <w:spacing w:lineRule="auto" w:line="240" w:after="0" w:beforeAutospacing="0" w:afterAutospacing="0"/>
        <w:ind w:firstLine="567"/>
        <w:jc w:val="both"/>
        <w:rPr>
          <w:rFonts w:ascii="Times New Roman" w:hAnsi="Times New Roman"/>
          <w:sz w:val="27"/>
          <w:szCs w:val="27"/>
          <w:lang w:eastAsia="uk-UA"/>
        </w:rPr>
      </w:pPr>
    </w:p>
    <w:p>
      <w:pPr>
        <w:spacing w:lineRule="auto" w:line="240" w:after="0" w:beforeAutospacing="0" w:afterAutospacing="0"/>
        <w:ind w:firstLine="567"/>
        <w:jc w:val="both"/>
        <w:rPr>
          <w:rFonts w:ascii="Times New Roman" w:hAnsi="Times New Roman"/>
          <w:sz w:val="27"/>
          <w:szCs w:val="27"/>
          <w:lang w:eastAsia="uk-UA"/>
        </w:rPr>
      </w:pPr>
      <w:r>
        <w:rPr>
          <w:rFonts w:ascii="Times New Roman" w:hAnsi="Times New Roman"/>
          <w:b w:val="1"/>
          <w:bCs w:val="1"/>
          <w:sz w:val="27"/>
          <w:szCs w:val="27"/>
          <w:lang w:eastAsia="uk-UA"/>
        </w:rPr>
        <w:t>7. Оцінка відповідності </w:t>
      </w:r>
    </w:p>
    <w:p>
      <w:pPr>
        <w:shd w:val="clear" w:fill="FFFFFF"/>
        <w:spacing w:lineRule="auto" w:line="240" w:after="0" w:beforeAutospacing="0" w:afterAutospacing="0"/>
        <w:ind w:firstLine="567"/>
        <w:jc w:val="both"/>
        <w:rPr>
          <w:rFonts w:ascii="Times New Roman" w:hAnsi="Times New Roman"/>
          <w:sz w:val="27"/>
          <w:szCs w:val="27"/>
          <w:lang w:eastAsia="uk-UA"/>
        </w:rPr>
      </w:pPr>
      <w:r>
        <w:rPr>
          <w:rFonts w:ascii="Times New Roman" w:hAnsi="Times New Roman"/>
          <w:sz w:val="27"/>
          <w:szCs w:val="27"/>
          <w:lang w:eastAsia="uk-UA"/>
        </w:rPr>
        <w:t>У проекті акта відсутні положення, що: </w:t>
      </w:r>
    </w:p>
    <w:p>
      <w:pPr>
        <w:shd w:val="clear" w:fill="FFFFFF"/>
        <w:spacing w:lineRule="auto" w:line="240" w:after="0" w:beforeAutospacing="0" w:afterAutospacing="0"/>
        <w:ind w:firstLine="567"/>
        <w:jc w:val="both"/>
        <w:rPr>
          <w:rFonts w:ascii="Times New Roman" w:hAnsi="Times New Roman"/>
          <w:sz w:val="27"/>
          <w:szCs w:val="27"/>
          <w:lang w:eastAsia="uk-UA"/>
        </w:rPr>
      </w:pPr>
      <w:r>
        <w:rPr>
          <w:rFonts w:ascii="Times New Roman" w:hAnsi="Times New Roman"/>
          <w:sz w:val="27"/>
          <w:szCs w:val="27"/>
          <w:lang w:eastAsia="uk-UA"/>
        </w:rPr>
        <w:t>стосуються зобов’язань України у сфері європейської інтеграції; </w:t>
      </w:r>
    </w:p>
    <w:p>
      <w:pPr>
        <w:shd w:val="clear" w:fill="FFFFFF"/>
        <w:spacing w:lineRule="auto" w:line="240" w:after="0" w:beforeAutospacing="0" w:afterAutospacing="0"/>
        <w:ind w:firstLine="567"/>
        <w:jc w:val="both"/>
        <w:rPr>
          <w:rFonts w:ascii="Times New Roman" w:hAnsi="Times New Roman"/>
          <w:sz w:val="27"/>
          <w:szCs w:val="27"/>
          <w:lang w:eastAsia="uk-UA"/>
        </w:rPr>
      </w:pPr>
      <w:r>
        <w:rPr>
          <w:rFonts w:ascii="Times New Roman" w:hAnsi="Times New Roman"/>
          <w:sz w:val="27"/>
          <w:szCs w:val="27"/>
          <w:lang w:eastAsia="uk-UA"/>
        </w:rPr>
        <w:t>стосуються прав та свобод, гарантованих Конвенцією про захист прав людини і основоположних свобод; </w:t>
      </w:r>
    </w:p>
    <w:p>
      <w:pPr>
        <w:shd w:val="clear" w:fill="FFFFFF"/>
        <w:spacing w:lineRule="auto" w:line="240" w:after="0" w:beforeAutospacing="0" w:afterAutospacing="0"/>
        <w:ind w:firstLine="567"/>
        <w:jc w:val="both"/>
        <w:rPr>
          <w:rFonts w:ascii="Times New Roman" w:hAnsi="Times New Roman"/>
          <w:sz w:val="27"/>
          <w:szCs w:val="27"/>
          <w:lang w:eastAsia="uk-UA"/>
        </w:rPr>
      </w:pPr>
      <w:r>
        <w:rPr>
          <w:rFonts w:ascii="Times New Roman" w:hAnsi="Times New Roman"/>
          <w:sz w:val="27"/>
          <w:szCs w:val="27"/>
          <w:lang w:eastAsia="uk-UA"/>
        </w:rPr>
        <w:t>впливають на забезпечення рівних прав та можливостей жінок і чоловіків; </w:t>
      </w:r>
    </w:p>
    <w:p>
      <w:pPr>
        <w:shd w:val="clear" w:fill="FFFFFF"/>
        <w:spacing w:lineRule="auto" w:line="240" w:after="0" w:beforeAutospacing="0" w:afterAutospacing="0"/>
        <w:ind w:firstLine="567"/>
        <w:jc w:val="both"/>
        <w:rPr>
          <w:rFonts w:ascii="Times New Roman" w:hAnsi="Times New Roman"/>
          <w:sz w:val="27"/>
          <w:szCs w:val="27"/>
          <w:lang w:eastAsia="uk-UA"/>
        </w:rPr>
      </w:pPr>
      <w:r>
        <w:rPr>
          <w:rFonts w:ascii="Times New Roman" w:hAnsi="Times New Roman"/>
          <w:sz w:val="27"/>
          <w:szCs w:val="27"/>
          <w:lang w:eastAsia="uk-UA"/>
        </w:rPr>
        <w:t>створюють підстави для дискримінації. </w:t>
      </w:r>
    </w:p>
    <w:p>
      <w:pPr>
        <w:shd w:val="clear" w:fill="FFFFFF"/>
        <w:spacing w:lineRule="auto" w:line="240" w:after="0" w:beforeAutospacing="0" w:afterAutospacing="0"/>
        <w:ind w:firstLine="567"/>
        <w:jc w:val="both"/>
        <w:rPr>
          <w:rFonts w:ascii="Times New Roman" w:hAnsi="Times New Roman"/>
          <w:sz w:val="27"/>
          <w:szCs w:val="27"/>
          <w:lang w:eastAsia="uk-UA"/>
        </w:rPr>
      </w:pPr>
      <w:r>
        <w:rPr>
          <w:rFonts w:ascii="Times New Roman" w:hAnsi="Times New Roman"/>
          <w:sz w:val="27"/>
          <w:szCs w:val="27"/>
          <w:lang w:eastAsia="uk-UA"/>
        </w:rPr>
        <w:t>Громадська антикорупційна, антидискримінаційна та гендерн</w:t>
      </w:r>
      <w:r>
        <w:rPr>
          <w:rFonts w:ascii="Times New Roman" w:hAnsi="Times New Roman"/>
          <w:color w:val="000000"/>
          <w:sz w:val="27"/>
          <w:szCs w:val="27"/>
          <w:lang w:eastAsia="uk-UA"/>
        </w:rPr>
        <w:t>о-пра</w:t>
      </w:r>
      <w:r>
        <w:rPr>
          <w:rFonts w:ascii="Times New Roman" w:hAnsi="Times New Roman"/>
          <w:sz w:val="27"/>
          <w:szCs w:val="27"/>
          <w:lang w:eastAsia="uk-UA"/>
        </w:rPr>
        <w:t>вова експертизи не проводилися.</w:t>
      </w:r>
    </w:p>
    <w:p>
      <w:pPr>
        <w:spacing w:lineRule="auto" w:line="240" w:after="0" w:beforeAutospacing="0" w:afterAutospacing="0"/>
        <w:rPr>
          <w:rFonts w:ascii="Times New Roman" w:hAnsi="Times New Roman"/>
          <w:sz w:val="27"/>
          <w:szCs w:val="27"/>
          <w:lang w:eastAsia="uk-UA"/>
        </w:rPr>
      </w:pPr>
    </w:p>
    <w:p>
      <w:pPr>
        <w:spacing w:lineRule="auto" w:line="240" w:after="0" w:beforeAutospacing="0" w:afterAutospacing="0"/>
        <w:ind w:firstLine="567"/>
        <w:jc w:val="both"/>
        <w:rPr>
          <w:rFonts w:ascii="Times New Roman" w:hAnsi="Times New Roman"/>
          <w:sz w:val="27"/>
          <w:szCs w:val="27"/>
          <w:lang w:eastAsia="uk-UA"/>
        </w:rPr>
      </w:pPr>
      <w:r>
        <w:rPr>
          <w:rFonts w:ascii="Times New Roman" w:hAnsi="Times New Roman"/>
          <w:b w:val="1"/>
          <w:bCs w:val="1"/>
          <w:sz w:val="27"/>
          <w:szCs w:val="27"/>
          <w:lang w:eastAsia="uk-UA"/>
        </w:rPr>
        <w:t>8. Прогноз результатів</w:t>
      </w:r>
    </w:p>
    <w:p>
      <w:pPr>
        <w:spacing w:lineRule="auto" w:line="240" w:after="0" w:beforeAutospacing="0" w:afterAutospacing="0"/>
        <w:ind w:firstLine="567"/>
        <w:jc w:val="both"/>
        <w:rPr>
          <w:rFonts w:ascii="Times New Roman" w:hAnsi="Times New Roman"/>
          <w:sz w:val="27"/>
          <w:szCs w:val="27"/>
          <w:shd w:val="clear" w:color="auto" w:fill="FFFFFF"/>
          <w:lang w:eastAsia="uk-UA"/>
        </w:rPr>
      </w:pPr>
      <w:r>
        <w:rPr>
          <w:rFonts w:ascii="Times New Roman" w:hAnsi="Times New Roman"/>
          <w:sz w:val="27"/>
          <w:szCs w:val="27"/>
          <w:lang w:eastAsia="uk-UA"/>
        </w:rPr>
        <w:t>Реалізація акта матиме вплив на інтереси заінтересованих сторін</w:t>
      </w:r>
      <w:r>
        <w:rPr>
          <w:rFonts w:ascii="Times New Roman" w:hAnsi="Times New Roman"/>
          <w:sz w:val="27"/>
          <w:szCs w:val="27"/>
          <w:shd w:val="clear" w:color="auto" w:fill="FFFFFF"/>
          <w:lang w:eastAsia="uk-UA"/>
        </w:rPr>
        <w:t>.</w:t>
      </w:r>
    </w:p>
    <w:tbl>
      <w:tblPr>
        <w:tblW w:w="0" w:type="auto"/>
        <w:tblCellMar>
          <w:top w:w="15" w:type="dxa"/>
          <w:left w:w="15" w:type="dxa"/>
          <w:bottom w:w="15" w:type="dxa"/>
          <w:right w:w="15" w:type="dxa"/>
        </w:tblCellMar>
        <w:tblLook w:val="04A0"/>
      </w:tblPr>
      <w:tblGrid>
        <w:gridCol w:w="2567"/>
        <w:gridCol w:w="1985"/>
        <w:gridCol w:w="2648"/>
      </w:tblGrid>
      <w:tr>
        <w:tc>
          <w:tcPr>
            <w:tcW w:w="353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beforeAutospacing="0" w:afterAutospacing="0"/>
              <w:jc w:val="center"/>
              <w:rPr>
                <w:rFonts w:ascii="Times New Roman" w:hAnsi="Times New Roman"/>
                <w:lang w:eastAsia="uk-UA"/>
              </w:rPr>
            </w:pPr>
            <w:r>
              <w:rPr>
                <w:rFonts w:ascii="Times New Roman" w:hAnsi="Times New Roman"/>
                <w:lang w:eastAsia="uk-UA"/>
              </w:rPr>
              <w:t>Заінтересована сторона</w:t>
            </w:r>
          </w:p>
        </w:tc>
        <w:tc>
          <w:tcPr>
            <w:tcW w:w="226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beforeAutospacing="0" w:afterAutospacing="0"/>
              <w:jc w:val="center"/>
              <w:rPr>
                <w:rFonts w:ascii="Times New Roman" w:hAnsi="Times New Roman"/>
                <w:lang w:eastAsia="uk-UA"/>
              </w:rPr>
            </w:pPr>
            <w:r>
              <w:rPr>
                <w:rFonts w:ascii="Times New Roman" w:hAnsi="Times New Roman"/>
                <w:lang w:eastAsia="uk-UA"/>
              </w:rPr>
              <w:t>Вплив реалізації акта на заінтересовану сторону</w:t>
            </w:r>
          </w:p>
        </w:tc>
        <w:tc>
          <w:tcPr>
            <w:tcW w:w="38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hideMark/>
          </w:tcPr>
          <w:p>
            <w:pPr>
              <w:spacing w:lineRule="auto" w:line="240" w:after="0" w:beforeAutospacing="0" w:afterAutospacing="0"/>
              <w:jc w:val="center"/>
              <w:rPr>
                <w:rFonts w:ascii="Times New Roman" w:hAnsi="Times New Roman"/>
                <w:lang w:eastAsia="uk-UA"/>
              </w:rPr>
            </w:pPr>
            <w:r>
              <w:rPr>
                <w:rFonts w:ascii="Times New Roman" w:hAnsi="Times New Roman"/>
                <w:lang w:eastAsia="uk-UA"/>
              </w:rPr>
              <w:t>Пояснення очікуваного впливу</w:t>
            </w:r>
          </w:p>
        </w:tc>
      </w:tr>
      <w:tr>
        <w:tc>
          <w:tcPr>
            <w:tcW w:w="353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hideMark/>
          </w:tcPr>
          <w:p>
            <w:pPr>
              <w:spacing w:lineRule="auto" w:line="240" w:after="0" w:beforeAutospacing="0" w:afterAutospacing="0"/>
              <w:jc w:val="both"/>
              <w:rPr>
                <w:rFonts w:ascii="Times New Roman" w:hAnsi="Times New Roman"/>
                <w:lang w:eastAsia="uk-UA"/>
              </w:rPr>
            </w:pPr>
            <w:r>
              <w:rPr>
                <w:rFonts w:ascii="Times New Roman" w:hAnsi="Times New Roman"/>
                <w:lang w:eastAsia="uk-UA"/>
              </w:rPr>
              <w:t>Окремі категорії осіб, які захищали незалежність, суверенітет та територіальну цілісність України та отримують послуги з</w:t>
            </w:r>
            <w:r>
              <w:rPr>
                <w:rFonts w:ascii="Times New Roman" w:hAnsi="Times New Roman"/>
                <w:color w:val="000000"/>
                <w:lang w:val="uk" w:eastAsia="uk-UA"/>
              </w:rPr>
              <w:t xml:space="preserve"> </w:t>
            </w:r>
            <w:r>
              <w:rPr>
                <w:rFonts w:ascii="Times New Roman" w:hAnsi="Times New Roman"/>
                <w:color w:val="000000"/>
                <w:lang w:eastAsia="uk-UA"/>
              </w:rPr>
              <w:t xml:space="preserve">корекції </w:t>
            </w:r>
            <w:r>
              <w:rPr>
                <w:rFonts w:ascii="Times New Roman" w:hAnsi="Times New Roman"/>
                <w:color w:val="000000"/>
                <w:lang w:val="uk" w:eastAsia="uk-UA"/>
              </w:rPr>
              <w:t xml:space="preserve">рубцевих змін </w:t>
            </w:r>
            <w:r>
              <w:rPr>
                <w:rFonts w:ascii="Times New Roman" w:hAnsi="Times New Roman"/>
                <w:color w:val="000000"/>
                <w:lang w:eastAsia="uk-UA"/>
              </w:rPr>
              <w:t>шкіри після травм, опіків</w:t>
            </w:r>
          </w:p>
        </w:tc>
        <w:tc>
          <w:tcPr>
            <w:tcW w:w="226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hideMark/>
          </w:tcPr>
          <w:p>
            <w:pPr>
              <w:spacing w:lineRule="auto" w:line="240" w:after="0" w:beforeAutospacing="0" w:afterAutospacing="0"/>
              <w:jc w:val="center"/>
              <w:rPr>
                <w:rFonts w:ascii="Times New Roman" w:hAnsi="Times New Roman"/>
                <w:lang w:eastAsia="uk-UA"/>
              </w:rPr>
            </w:pPr>
            <w:r>
              <w:rPr>
                <w:rFonts w:ascii="Times New Roman" w:hAnsi="Times New Roman"/>
                <w:lang w:eastAsia="uk-UA"/>
              </w:rPr>
              <w:t>Позитивний</w:t>
            </w:r>
          </w:p>
          <w:p>
            <w:pPr>
              <w:spacing w:lineRule="auto" w:line="240" w:after="0" w:beforeAutospacing="0" w:afterAutospacing="0"/>
              <w:rPr>
                <w:rFonts w:ascii="Times New Roman" w:hAnsi="Times New Roman"/>
                <w:lang w:eastAsia="uk-UA"/>
              </w:rPr>
            </w:pPr>
          </w:p>
        </w:tc>
        <w:tc>
          <w:tcPr>
            <w:tcW w:w="38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hideMark/>
          </w:tcPr>
          <w:p>
            <w:pPr>
              <w:spacing w:lineRule="auto" w:line="240" w:after="0" w:beforeAutospacing="0" w:afterAutospacing="0"/>
              <w:jc w:val="both"/>
              <w:rPr>
                <w:rFonts w:ascii="Times New Roman" w:hAnsi="Times New Roman"/>
                <w:lang w:eastAsia="uk-UA"/>
              </w:rPr>
            </w:pPr>
            <w:r>
              <w:rPr>
                <w:rFonts w:ascii="Times New Roman" w:hAnsi="Times New Roman"/>
                <w:lang w:eastAsia="uk-UA"/>
              </w:rPr>
              <w:t xml:space="preserve">Забезпечено доступ до послуг з </w:t>
            </w:r>
            <w:r>
              <w:rPr>
                <w:rFonts w:ascii="Times New Roman" w:hAnsi="Times New Roman"/>
                <w:color w:val="000000"/>
                <w:lang w:eastAsia="uk-UA"/>
              </w:rPr>
              <w:t xml:space="preserve">корекції </w:t>
            </w:r>
            <w:r>
              <w:rPr>
                <w:rFonts w:ascii="Times New Roman" w:hAnsi="Times New Roman"/>
                <w:color w:val="000000"/>
                <w:lang w:val="uk" w:eastAsia="uk-UA"/>
              </w:rPr>
              <w:t xml:space="preserve">рубцевих змін </w:t>
            </w:r>
            <w:r>
              <w:rPr>
                <w:rFonts w:ascii="Times New Roman" w:hAnsi="Times New Roman"/>
                <w:color w:val="000000"/>
                <w:lang w:eastAsia="uk-UA"/>
              </w:rPr>
              <w:t>шкіри після травм, опіків</w:t>
            </w:r>
            <w:r>
              <w:rPr>
                <w:rFonts w:ascii="Times New Roman" w:hAnsi="Times New Roman"/>
                <w:lang w:eastAsia="uk-UA"/>
              </w:rPr>
              <w:t xml:space="preserve"> окремим категоріям осіб, які захищали незалежність, суверенітет та територіальну цілісність України. </w:t>
            </w:r>
          </w:p>
        </w:tc>
      </w:tr>
    </w:tbl>
    <w:p>
      <w:pPr>
        <w:spacing w:lineRule="auto" w:line="240" w:after="0" w:beforeAutospacing="0" w:afterAutospacing="0"/>
        <w:rPr>
          <w:rFonts w:ascii="Times New Roman" w:hAnsi="Times New Roman"/>
          <w:sz w:val="27"/>
          <w:szCs w:val="27"/>
          <w:lang w:eastAsia="uk-UA"/>
        </w:rPr>
      </w:pPr>
    </w:p>
    <w:p>
      <w:pPr>
        <w:spacing w:lineRule="auto" w:line="240" w:after="0" w:beforeAutospacing="0" w:afterAutospacing="0"/>
        <w:rPr>
          <w:rFonts w:ascii="Times New Roman" w:hAnsi="Times New Roman"/>
          <w:sz w:val="27"/>
          <w:szCs w:val="27"/>
          <w:lang w:eastAsia="uk-UA"/>
        </w:rPr>
      </w:pPr>
    </w:p>
    <w:p>
      <w:pPr>
        <w:spacing w:lineRule="auto" w:line="240" w:after="0" w:beforeAutospacing="0" w:afterAutospacing="0"/>
        <w:jc w:val="both"/>
        <w:rPr>
          <w:rFonts w:ascii="Times New Roman" w:hAnsi="Times New Roman"/>
          <w:sz w:val="27"/>
          <w:szCs w:val="27"/>
          <w:lang w:eastAsia="uk-UA"/>
        </w:rPr>
      </w:pPr>
      <w:r>
        <w:rPr>
          <w:rFonts w:ascii="Times New Roman" w:hAnsi="Times New Roman"/>
          <w:sz w:val="27"/>
          <w:szCs w:val="27"/>
          <w:lang w:eastAsia="uk-UA"/>
        </w:rPr>
        <w:t xml:space="preserve">Міністр у справах ветеранів України                                     Наталія КАЛМИКОВА</w:t>
      </w:r>
    </w:p>
    <w:sectPr>
      <w:headerReference w:type="default" r:id="RelHdr1"/>
      <w:footnotePr/>
      <w:endnotePr/>
      <w:type w:val="nextPage"/>
      <w:pgSz w:w="11906" w:h="16838" w:code="0"/>
      <w:pgMar w:left="1701" w:right="567" w:top="1134" w:bottom="1134" w:header="510" w:footer="709" w:gutter="0"/>
      <w:pgNumType w:start="1" w:chapSep="period"/>
      <w:titlePg w:val="1"/>
    </w:sectPr>
  </w:body>
</w:document>
</file>

<file path=word/endnotes.xml><?xml version="1.0" encoding="utf-8"?>
<w:end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pPr>
        <w:spacing w:lineRule="auto" w:line="240" w:after="0" w:beforeAutospacing="0" w:afterAutospacing="0"/>
      </w:pPr>
    </w:p>
  </w:endnote>
  <w:endnote w:type="continuationSeparator" w:id="0">
    <w:p>
      <w:pPr>
        <w:spacing w:lineRule="auto" w:line="240" w:after="0" w:beforeAutospacing="0" w:afterAutospacing="0"/>
      </w:pPr>
    </w:p>
  </w:endnote>
</w:endnotes>
</file>

<file path=word/footnotes.xml><?xml version="1.0" encoding="utf-8"?>
<w:foot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pPr>
        <w:spacing w:lineRule="auto" w:line="240" w:after="0" w:beforeAutospacing="0" w:afterAutospacing="0"/>
      </w:pPr>
    </w:p>
  </w:footnote>
  <w:footnote w:type="continuationSeparator" w:id="0">
    <w:p>
      <w:pPr>
        <w:spacing w:lineRule="auto" w:line="240" w:after="0" w:beforeAutospacing="0" w:afterAutospacing="0"/>
      </w:pPr>
    </w:p>
  </w:footnote>
</w:footnotes>
</file>

<file path=word/header1.xml><?xml version="1.0" encoding="utf-8"?>
<w:hd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5"/>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noProof w:val="1"/>
      </w:rPr>
      <w:t>#</w:t>
    </w:r>
    <w:r>
      <w:rPr>
        <w:rFonts w:ascii="Times New Roman" w:hAnsi="Times New Roman"/>
      </w:rPr>
      <w:fldChar w:fldCharType="end"/>
    </w:r>
  </w:p>
  <w:p>
    <w:pPr>
      <w:pStyle w:val="P15"/>
      <w:rPr>
        <w:rFonts w:ascii="Times New Roman" w:hAnsi="Times New Roman"/>
      </w:rPr>
    </w:pPr>
  </w:p>
</w:hdr>
</file>

<file path=word/numbering.xml><?xml version="1.0" encoding="utf-8"?>
<w:numbering xmlns:w="http://schemas.openxmlformats.org/wordprocessingml/2006/main">
  <w:abstractNum w:abstractNumId="0">
    <w:nsid w:val="4EE318A6"/>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num w:numId="1">
    <w:abstractNumId w:val="0"/>
  </w:num>
</w:numbering>
</file>

<file path=word/settings.xml><?xml version="1.0" encoding="utf-8"?>
<w:settings xmlns:r="http://schemas.openxmlformats.org/officeDocument/2006/relationships" xmlns:w="http://schemas.openxmlformats.org/wordprocessingml/2006/main">
  <w:displayBackgroundShape w:val="0"/>
  <w:defaultTabStop w:val="708"/>
  <w:autoHyphenation w:val="0"/>
  <w:hyphenationZone w:val="425"/>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Calibri" w:hAnsi="Calibri"/>
        <w:sz w:val="24"/>
        <w:szCs w:val="24"/>
        <w:kern w:val="2"/>
        <w:lang w:val="uk-UA" w:bidi="ar-SA" w:eastAsia="en-US"/>
      </w:rPr>
    </w:rPrDefault>
    <w:pPrDefault>
      <w:pPr>
        <w:keepNext w:val="0"/>
        <w:keepLines w:val="0"/>
        <w:pageBreakBefore w:val="0"/>
        <w:widowControl w:val="1"/>
        <w:suppressLineNumbers w:val="0"/>
        <w:shd w:val="clear" w:fill="auto"/>
        <w:suppressAutoHyphens w:val="0"/>
        <w:spacing w:lineRule="auto" w:line="278" w:before="0" w:after="16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Heading 1"/>
    <w:basedOn w:val="P0"/>
    <w:next w:val="P0"/>
    <w:link w:val="C3"/>
    <w:qFormat/>
    <w:pPr>
      <w:keepNext w:val="1"/>
      <w:keepLines w:val="1"/>
      <w:spacing w:before="360" w:after="80" w:beforeAutospacing="0" w:afterAutospacing="0"/>
      <w:outlineLvl w:val="0"/>
    </w:pPr>
    <w:rPr>
      <w:color w:val="2F5496" w:themeColor="accent1" w:themeShade="BF"/>
      <w:sz w:val="40"/>
      <w:szCs w:val="40"/>
    </w:rPr>
  </w:style>
  <w:style w:type="paragraph" w:styleId="P2">
    <w:name w:val="Heading 2"/>
    <w:basedOn w:val="P0"/>
    <w:next w:val="P0"/>
    <w:link w:val="C4"/>
    <w:semiHidden/>
    <w:qFormat/>
    <w:pPr>
      <w:keepNext w:val="1"/>
      <w:keepLines w:val="1"/>
      <w:spacing w:before="160" w:after="80" w:beforeAutospacing="0" w:afterAutospacing="0"/>
      <w:outlineLvl w:val="1"/>
    </w:pPr>
    <w:rPr>
      <w:color w:val="2F5496" w:themeColor="accent1" w:themeShade="BF"/>
      <w:sz w:val="32"/>
      <w:szCs w:val="32"/>
    </w:rPr>
  </w:style>
  <w:style w:type="paragraph" w:styleId="P3">
    <w:name w:val="Heading 3"/>
    <w:basedOn w:val="P0"/>
    <w:next w:val="P0"/>
    <w:link w:val="C5"/>
    <w:semiHidden/>
    <w:qFormat/>
    <w:pPr>
      <w:keepNext w:val="1"/>
      <w:keepLines w:val="1"/>
      <w:spacing w:before="160" w:after="80" w:beforeAutospacing="0" w:afterAutospacing="0"/>
      <w:outlineLvl w:val="2"/>
    </w:pPr>
    <w:rPr>
      <w:color w:val="2F5496" w:themeColor="accent1" w:themeShade="BF"/>
      <w:sz w:val="28"/>
      <w:szCs w:val="28"/>
    </w:rPr>
  </w:style>
  <w:style w:type="paragraph" w:styleId="P4">
    <w:name w:val="Heading 4"/>
    <w:basedOn w:val="P0"/>
    <w:next w:val="P0"/>
    <w:link w:val="C6"/>
    <w:semiHidden/>
    <w:qFormat/>
    <w:pPr>
      <w:keepNext w:val="1"/>
      <w:keepLines w:val="1"/>
      <w:spacing w:before="80" w:after="40" w:beforeAutospacing="0" w:afterAutospacing="0"/>
      <w:outlineLvl w:val="3"/>
    </w:pPr>
    <w:rPr>
      <w:i w:val="1"/>
      <w:iCs w:val="1"/>
      <w:color w:val="2F5496" w:themeColor="accent1" w:themeShade="BF"/>
    </w:rPr>
  </w:style>
  <w:style w:type="paragraph" w:styleId="P5">
    <w:name w:val="Heading 5"/>
    <w:basedOn w:val="P0"/>
    <w:next w:val="P0"/>
    <w:link w:val="C7"/>
    <w:semiHidden/>
    <w:qFormat/>
    <w:pPr>
      <w:keepNext w:val="1"/>
      <w:keepLines w:val="1"/>
      <w:spacing w:before="80" w:after="40" w:beforeAutospacing="0" w:afterAutospacing="0"/>
      <w:outlineLvl w:val="4"/>
    </w:pPr>
    <w:rPr>
      <w:color w:val="2F5496" w:themeColor="accent1" w:themeShade="BF"/>
    </w:rPr>
  </w:style>
  <w:style w:type="paragraph" w:styleId="P6">
    <w:name w:val="Heading 6"/>
    <w:basedOn w:val="P0"/>
    <w:next w:val="P0"/>
    <w:link w:val="C8"/>
    <w:semiHidden/>
    <w:qFormat/>
    <w:pPr>
      <w:keepNext w:val="1"/>
      <w:keepLines w:val="1"/>
      <w:spacing w:before="40" w:after="0" w:beforeAutospacing="0" w:afterAutospacing="0"/>
      <w:outlineLvl w:val="5"/>
    </w:pPr>
    <w:rPr>
      <w:i w:val="1"/>
      <w:iCs w:val="1"/>
      <w:color w:val="595959" w:themeColor="text1" w:themeTint="A6"/>
    </w:rPr>
  </w:style>
  <w:style w:type="paragraph" w:styleId="P7">
    <w:name w:val="Heading 7"/>
    <w:basedOn w:val="P0"/>
    <w:next w:val="P0"/>
    <w:link w:val="C9"/>
    <w:semiHidden/>
    <w:qFormat/>
    <w:pPr>
      <w:keepNext w:val="1"/>
      <w:keepLines w:val="1"/>
      <w:spacing w:before="40" w:after="0" w:beforeAutospacing="0" w:afterAutospacing="0"/>
      <w:outlineLvl w:val="6"/>
    </w:pPr>
    <w:rPr>
      <w:color w:val="595959" w:themeColor="text1" w:themeTint="A6"/>
    </w:rPr>
  </w:style>
  <w:style w:type="paragraph" w:styleId="P8">
    <w:name w:val="Heading 8"/>
    <w:basedOn w:val="P0"/>
    <w:next w:val="P0"/>
    <w:link w:val="C10"/>
    <w:semiHidden/>
    <w:qFormat/>
    <w:pPr>
      <w:keepNext w:val="1"/>
      <w:keepLines w:val="1"/>
      <w:spacing w:after="0" w:beforeAutospacing="0" w:afterAutospacing="0"/>
      <w:outlineLvl w:val="7"/>
    </w:pPr>
    <w:rPr>
      <w:i w:val="1"/>
      <w:iCs w:val="1"/>
      <w:color w:val="272727" w:themeColor="text1" w:themeTint="D8"/>
    </w:rPr>
  </w:style>
  <w:style w:type="paragraph" w:styleId="P9">
    <w:name w:val="Heading 9"/>
    <w:basedOn w:val="P0"/>
    <w:next w:val="P0"/>
    <w:link w:val="C11"/>
    <w:semiHidden/>
    <w:qFormat/>
    <w:pPr>
      <w:keepNext w:val="1"/>
      <w:keepLines w:val="1"/>
      <w:spacing w:after="0" w:beforeAutospacing="0" w:afterAutospacing="0"/>
      <w:outlineLvl w:val="8"/>
    </w:pPr>
    <w:rPr>
      <w:color w:val="272727" w:themeColor="text1" w:themeTint="D8"/>
    </w:rPr>
  </w:style>
  <w:style w:type="paragraph" w:styleId="P10">
    <w:name w:val="Title"/>
    <w:basedOn w:val="P0"/>
    <w:next w:val="P0"/>
    <w:link w:val="C12"/>
    <w:qFormat/>
    <w:pPr>
      <w:spacing w:lineRule="auto" w:line="240" w:after="80" w:beforeAutospacing="0" w:afterAutospacing="0"/>
      <w:contextualSpacing w:val="1"/>
    </w:pPr>
    <w:rPr>
      <w:sz w:val="56"/>
      <w:szCs w:val="56"/>
      <w:spacing w:val="-10"/>
      <w:kern w:val="28"/>
    </w:rPr>
  </w:style>
  <w:style w:type="paragraph" w:styleId="P11">
    <w:name w:val="Subtitle"/>
    <w:basedOn w:val="P0"/>
    <w:next w:val="P0"/>
    <w:link w:val="C13"/>
    <w:qFormat/>
    <w:pPr/>
    <w:rPr>
      <w:color w:val="595959" w:themeColor="text1" w:themeTint="A6"/>
      <w:sz w:val="28"/>
      <w:szCs w:val="28"/>
      <w:spacing w:val="15"/>
    </w:rPr>
  </w:style>
  <w:style w:type="paragraph" w:styleId="P12">
    <w:name w:val="Quote"/>
    <w:basedOn w:val="P0"/>
    <w:next w:val="P0"/>
    <w:link w:val="C14"/>
    <w:qFormat/>
    <w:pPr>
      <w:spacing w:before="160" w:beforeAutospacing="0" w:afterAutospacing="0"/>
      <w:jc w:val="center"/>
    </w:pPr>
    <w:rPr>
      <w:i w:val="1"/>
      <w:iCs w:val="1"/>
      <w:color w:val="404040" w:themeColor="text1" w:themeTint="BF"/>
    </w:rPr>
  </w:style>
  <w:style w:type="paragraph" w:styleId="P13">
    <w:name w:val="List Paragraph"/>
    <w:basedOn w:val="P0"/>
    <w:qFormat/>
    <w:pPr>
      <w:ind w:left="720"/>
      <w:contextualSpacing w:val="1"/>
    </w:pPr>
    <w:rPr/>
  </w:style>
  <w:style w:type="paragraph" w:styleId="P14">
    <w:name w:val="Intense Quote"/>
    <w:basedOn w:val="P0"/>
    <w:next w:val="P0"/>
    <w:link w:val="C16"/>
    <w:qFormat/>
    <w:pPr>
      <w:pBdr>
        <w:top w:val="single" w:sz="4" w:space="10" w:shadow="0" w:frame="0" w:color="2F5496" w:themeColor="accent1" w:themeShade="BF"/>
        <w:left w:val="none" w:sz="0" w:space="0" w:shadow="0" w:frame="0" w:color="auto"/>
        <w:bottom w:val="single" w:sz="4" w:space="10" w:shadow="0" w:frame="0" w:color="2F5496" w:themeColor="accent1" w:themeShade="BF"/>
        <w:right w:val="none" w:sz="0" w:space="0" w:shadow="0" w:frame="0" w:color="auto"/>
        <w:between w:val="none" w:sz="0" w:space="0" w:shadow="0" w:frame="0" w:color="auto"/>
      </w:pBdr>
      <w:spacing w:before="360" w:after="360" w:beforeAutospacing="0" w:afterAutospacing="0"/>
      <w:ind w:left="864" w:right="864"/>
      <w:jc w:val="center"/>
    </w:pPr>
    <w:rPr>
      <w:i w:val="1"/>
      <w:iCs w:val="1"/>
      <w:color w:val="2F5496" w:themeColor="accent1" w:themeShade="BF"/>
    </w:rPr>
  </w:style>
  <w:style w:type="paragraph" w:styleId="P15">
    <w:name w:val="Header"/>
    <w:basedOn w:val="P0"/>
    <w:link w:val="C18"/>
    <w:pPr>
      <w:tabs>
        <w:tab w:val="center" w:pos="4819" w:leader="none"/>
        <w:tab w:val="right" w:pos="9639" w:leader="none"/>
      </w:tabs>
      <w:spacing w:lineRule="auto" w:line="240" w:after="0" w:beforeAutospacing="0" w:afterAutospacing="0"/>
    </w:pPr>
    <w:rPr/>
  </w:style>
  <w:style w:type="paragraph" w:styleId="P16">
    <w:name w:val="Footer"/>
    <w:basedOn w:val="P0"/>
    <w:link w:val="C19"/>
    <w:pPr>
      <w:tabs>
        <w:tab w:val="center" w:pos="4819" w:leader="none"/>
        <w:tab w:val="right" w:pos="9639" w:leader="none"/>
      </w:tabs>
      <w:spacing w:lineRule="auto" w:line="240" w:after="0" w:beforeAutospacing="0" w:afterAutospacing="0"/>
    </w:pPr>
    <w:rPr/>
  </w:style>
  <w:style w:type="paragraph" w:styleId="P17">
    <w:name w:val="Revision"/>
    <w:hidden/>
    <w:semiHidden/>
    <w:pPr>
      <w:spacing w:lineRule="auto" w:line="240" w:after="0" w:beforeAutospacing="0" w:afterAutospacing="0"/>
    </w:pPr>
    <w:rPr/>
  </w:style>
  <w:style w:type="paragraph" w:styleId="P18">
    <w:name w:val="Footnote Text"/>
    <w:link w:val="C21"/>
    <w:semiHidden/>
    <w:pPr>
      <w:spacing w:lineRule="auto" w:line="240" w:after="0"/>
    </w:pPr>
    <w:rPr>
      <w:sz w:val="20"/>
      <w:szCs w:val="20"/>
    </w:rPr>
  </w:style>
  <w:style w:type="paragraph" w:styleId="P19">
    <w:name w:val="Endnote Text"/>
    <w:link w:val="C23"/>
    <w:semiHidden/>
    <w:pPr>
      <w:spacing w:lineRule="auto" w:line="240" w:after="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Заголовок 1 Знак"/>
    <w:basedOn w:val="C0"/>
    <w:link w:val="P1"/>
    <w:rPr>
      <w:color w:val="2F5496" w:themeColor="accent1" w:themeShade="BF"/>
      <w:sz w:val="40"/>
      <w:szCs w:val="40"/>
    </w:rPr>
  </w:style>
  <w:style w:type="character" w:styleId="C4">
    <w:name w:val="Заголовок 2 Знак"/>
    <w:basedOn w:val="C0"/>
    <w:link w:val="P2"/>
    <w:semiHidden/>
    <w:rPr>
      <w:color w:val="2F5496" w:themeColor="accent1" w:themeShade="BF"/>
      <w:sz w:val="32"/>
      <w:szCs w:val="32"/>
    </w:rPr>
  </w:style>
  <w:style w:type="character" w:styleId="C5">
    <w:name w:val="Заголовок 3 Знак"/>
    <w:basedOn w:val="C0"/>
    <w:link w:val="P3"/>
    <w:semiHidden/>
    <w:rPr>
      <w:color w:val="2F5496" w:themeColor="accent1" w:themeShade="BF"/>
      <w:sz w:val="28"/>
      <w:szCs w:val="28"/>
    </w:rPr>
  </w:style>
  <w:style w:type="character" w:styleId="C6">
    <w:name w:val="Заголовок 4 Знак"/>
    <w:basedOn w:val="C0"/>
    <w:link w:val="P4"/>
    <w:semiHidden/>
    <w:rPr>
      <w:i w:val="1"/>
      <w:iCs w:val="1"/>
      <w:color w:val="2F5496" w:themeColor="accent1" w:themeShade="BF"/>
    </w:rPr>
  </w:style>
  <w:style w:type="character" w:styleId="C7">
    <w:name w:val="Заголовок 5 Знак"/>
    <w:basedOn w:val="C0"/>
    <w:link w:val="P5"/>
    <w:semiHidden/>
    <w:rPr>
      <w:color w:val="2F5496" w:themeColor="accent1" w:themeShade="BF"/>
    </w:rPr>
  </w:style>
  <w:style w:type="character" w:styleId="C8">
    <w:name w:val="Заголовок 6 Знак"/>
    <w:basedOn w:val="C0"/>
    <w:link w:val="P6"/>
    <w:semiHidden/>
    <w:rPr>
      <w:i w:val="1"/>
      <w:iCs w:val="1"/>
      <w:color w:val="595959" w:themeColor="text1" w:themeTint="A6"/>
    </w:rPr>
  </w:style>
  <w:style w:type="character" w:styleId="C9">
    <w:name w:val="Заголовок 7 Знак"/>
    <w:basedOn w:val="C0"/>
    <w:link w:val="P7"/>
    <w:semiHidden/>
    <w:rPr>
      <w:color w:val="595959" w:themeColor="text1" w:themeTint="A6"/>
    </w:rPr>
  </w:style>
  <w:style w:type="character" w:styleId="C10">
    <w:name w:val="Заголовок 8 Знак"/>
    <w:basedOn w:val="C0"/>
    <w:link w:val="P8"/>
    <w:semiHidden/>
    <w:rPr>
      <w:i w:val="1"/>
      <w:iCs w:val="1"/>
      <w:color w:val="272727" w:themeColor="text1" w:themeTint="D8"/>
    </w:rPr>
  </w:style>
  <w:style w:type="character" w:styleId="C11">
    <w:name w:val="Заголовок 9 Знак"/>
    <w:basedOn w:val="C0"/>
    <w:link w:val="P9"/>
    <w:semiHidden/>
    <w:rPr>
      <w:color w:val="272727" w:themeColor="text1" w:themeTint="D8"/>
    </w:rPr>
  </w:style>
  <w:style w:type="character" w:styleId="C12">
    <w:name w:val="Заголовок Знак"/>
    <w:basedOn w:val="C0"/>
    <w:link w:val="P10"/>
    <w:rPr>
      <w:sz w:val="56"/>
      <w:szCs w:val="56"/>
      <w:spacing w:val="-10"/>
      <w:kern w:val="28"/>
    </w:rPr>
  </w:style>
  <w:style w:type="character" w:styleId="C13">
    <w:name w:val="Подзаголовок Знак"/>
    <w:basedOn w:val="C0"/>
    <w:link w:val="P11"/>
    <w:rPr>
      <w:color w:val="595959" w:themeColor="text1" w:themeTint="A6"/>
      <w:sz w:val="28"/>
      <w:szCs w:val="28"/>
      <w:spacing w:val="15"/>
    </w:rPr>
  </w:style>
  <w:style w:type="character" w:styleId="C14">
    <w:name w:val="Цитата 2 Знак"/>
    <w:basedOn w:val="C0"/>
    <w:link w:val="P12"/>
    <w:rPr>
      <w:i w:val="1"/>
      <w:iCs w:val="1"/>
      <w:color w:val="404040" w:themeColor="text1" w:themeTint="BF"/>
    </w:rPr>
  </w:style>
  <w:style w:type="character" w:styleId="C15">
    <w:name w:val="Intense Emphasis"/>
    <w:basedOn w:val="C0"/>
    <w:qFormat/>
    <w:rPr>
      <w:i w:val="1"/>
      <w:iCs w:val="1"/>
      <w:color w:val="2F5496" w:themeColor="accent1" w:themeShade="BF"/>
    </w:rPr>
  </w:style>
  <w:style w:type="character" w:styleId="C16">
    <w:name w:val="Выделенная цитата Знак"/>
    <w:basedOn w:val="C0"/>
    <w:link w:val="P14"/>
    <w:rPr>
      <w:i w:val="1"/>
      <w:iCs w:val="1"/>
      <w:color w:val="2F5496" w:themeColor="accent1" w:themeShade="BF"/>
    </w:rPr>
  </w:style>
  <w:style w:type="character" w:styleId="C17">
    <w:name w:val="Intense Reference1"/>
    <w:basedOn w:val="C0"/>
    <w:qFormat/>
    <w:rPr>
      <w:b w:val="1"/>
      <w:bCs w:val="1"/>
      <w:smallCaps w:val="1"/>
      <w:color w:val="2F5496" w:themeColor="accent1" w:themeShade="BF"/>
      <w:spacing w:val="5"/>
    </w:rPr>
  </w:style>
  <w:style w:type="character" w:styleId="C18">
    <w:name w:val="Верхний колонтитул Знак"/>
    <w:basedOn w:val="C0"/>
    <w:link w:val="P15"/>
    <w:rPr/>
  </w:style>
  <w:style w:type="character" w:styleId="C19">
    <w:name w:val="Нижний колонтитул Знак"/>
    <w:basedOn w:val="C0"/>
    <w:link w:val="P16"/>
    <w:rPr/>
  </w:style>
  <w:style w:type="character" w:styleId="C20">
    <w:name w:val="Footnote Reference"/>
    <w:semiHidden/>
    <w:rPr>
      <w:vertAlign w:val="superscript"/>
    </w:rPr>
  </w:style>
  <w:style w:type="character" w:styleId="C21">
    <w:name w:val="Footnote Text Char"/>
    <w:link w:val="P18"/>
    <w:semiHidden/>
    <w:rPr>
      <w:sz w:val="20"/>
      <w:szCs w:val="20"/>
    </w:rPr>
  </w:style>
  <w:style w:type="character" w:styleId="C22">
    <w:name w:val="Endnote Reference"/>
    <w:semiHidden/>
    <w:rPr>
      <w:vertAlign w:val="superscript"/>
    </w:rPr>
  </w:style>
  <w:style w:type="character" w:styleId="C23">
    <w:name w:val="Endnote Text Char"/>
    <w:link w:val="P19"/>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_rels/endnotes.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 />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b5aa5-405c-42fa-b927-ab5c2a84d0ab}">
  <ds:schemaRefs>
    <ds:schemaRef ds:uri="http://schemas.microsoft.com/vsto/samples"/>
  </ds:schemaRefs>
</ds:datastoreItem>
</file>

<file path=docProps/app.xml><?xml version="1.0" encoding="utf-8"?>
<Properties xmlns="http://schemas.openxmlformats.org/officeDocument/2006/extended-properties">
  <Application>DevExpress Office File API/24.2.6.0</Application>
  <AppVersion>24.2</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Брагіна Інна Олексіївна</dc:creator>
  <dcterms:created xsi:type="dcterms:W3CDTF">2025-11-07T16:45:00Z</dcterms:created>
  <cp:lastModifiedBy>pool-iis</cp:lastModifiedBy>
  <dcterms:modified xsi:type="dcterms:W3CDTF">2025-11-10T08:33:12Z</dcterms:modified>
  <cp:revision>6</cp:revision>
</cp:coreProperties>
</file>