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76" w:after="0" w:beforeAutospacing="0" w:afterAutospacing="0"/>
      </w:pPr>
    </w:p>
    <w:p>
      <w:pPr>
        <w:widowControl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76" w:after="0" w:beforeAutospacing="0" w:afterAutospacing="0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spacing w:lineRule="auto" w:line="240" w:after="0" w:beforeAutospacing="0" w:afterAutospacing="0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постановою Кабінету Міністрів України</w:t>
      </w:r>
    </w:p>
    <w:p>
      <w:pPr>
        <w:spacing w:lineRule="auto" w:line="240" w:after="0" w:beforeAutospacing="0" w:afterAutospacing="0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                      2025 р. №</w:t>
      </w:r>
    </w:p>
    <w:p>
      <w:pPr>
        <w:shd w:val="clear" w:fill="FFFFFF"/>
        <w:spacing w:lineRule="auto" w:line="240" w:after="0" w:beforeAutospacing="0" w:afterAutospacing="0"/>
        <w:ind w:right="724"/>
        <w:jc w:val="center"/>
        <w:rPr>
          <w:rFonts w:ascii="Times New Roman" w:hAnsi="Times New Roman"/>
          <w:sz w:val="28"/>
          <w:szCs w:val="28"/>
        </w:rPr>
      </w:pPr>
    </w:p>
    <w:p>
      <w:pPr>
        <w:shd w:val="clear" w:fill="FFFFFF"/>
        <w:spacing w:lineRule="auto" w:line="240" w:after="0" w:beforeAutospacing="0" w:afterAutospacing="0"/>
        <w:ind w:firstLine="567" w:right="724"/>
        <w:jc w:val="center"/>
        <w:rPr>
          <w:rFonts w:ascii="Times New Roman" w:hAnsi="Times New Roman"/>
          <w:sz w:val="28"/>
          <w:szCs w:val="28"/>
        </w:rPr>
      </w:pPr>
    </w:p>
    <w:p>
      <w:pPr>
        <w:shd w:val="clear" w:fill="FFFFFF"/>
        <w:spacing w:lineRule="auto" w:line="240" w:before="240" w:after="240" w:beforeAutospacing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  <w:br w:type="textWrapping"/>
        <w:t xml:space="preserve">реалізації експериментального проекту щодо адаптації осіб, </w:t>
        <w:br w:type="textWrapping"/>
        <w:t xml:space="preserve">які повністю або частково втратили зір, з числа військовослужбовців, </w:t>
        <w:br w:type="textWrapping"/>
        <w:t xml:space="preserve">осіб, які звільнені з військової служби, ветеранів війни та осіб, </w:t>
        <w:br w:type="textWrapping"/>
        <w:t>які мають особливі заслуги перед Батьківщиною</w:t>
      </w:r>
    </w:p>
    <w:p>
      <w:pPr>
        <w:shd w:val="clear" w:fill="FFFFFF"/>
        <w:spacing w:lineRule="auto" w:line="240" w:before="120" w:after="0" w:beforeAutospacing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Загальні положення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851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Цей Порядок визначає механізм реалізації експериментального проекту щодо адаптації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Батьківщиною, а також осіб із числа сил безпеки і оборони України, які отримали чи зазнали травм, поранень або захворювань, пов’язаних із повною або частковою втратою зору під час захисту Батьківщини (далі — експериментальний проект).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851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Терміни, що вживаються у цьому Порядку, мають таке значення: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замовник послуг з адаптації — центральний або місцевий орган виконавчої влади, орган місцевого самоврядування, державна установа, що здійснює залучення на договірній основі суб’єктів надання послуг з адаптації для задоволення потреб осіб — отримувачів послуг з адаптації у відповідній адаптації;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індивідуальний план з адаптації осіб, які повністю або частково втратили зір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(далі — індивідуальний план з адаптації) — це документ, який складений суб’єктом надання послуг з адаптації на підставі проведеного комплексного визначення потреби особи, яка повністю або частково втратила зір, щодо формування життєвих навичок, організації та проведення модифікації домашнього та робочого середовища, навчання орієнтуванню в просторі і мобільності, цифровим навичкам, шрифту Брайля тощо,</w:t>
      </w:r>
      <w:r>
        <w:rPr>
          <w:rFonts w:ascii="Times New Roman" w:hAnsi="Times New Roman"/>
          <w:sz w:val="28"/>
          <w:szCs w:val="28"/>
        </w:rPr>
        <w:t xml:space="preserve"> із зазначенням відомостей про залучення необхідних ресурсів та фахівців, строки виконання заходів, відповідальних виконавців та результатів;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особа — отримувач послуг з адаптації — особа, яка повністю або частково втратила зір, з числа військовослужбовців, осіб, які звільнені з військової служби, ветеранів війни, осіб, які мають особливі заслуги перед Батьківщиною, а також осіб із числа сил безпеки і оборони України, які отримали травму, поранення або захворювання, пов’язане із повною або частковою втратою зору під час захисту Батьківщини;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адаптація осіб, які повністю або частково втратили зір — </w:t>
      </w:r>
      <w:r>
        <w:rPr>
          <w:rFonts w:ascii="Times New Roman" w:hAnsi="Times New Roman"/>
          <w:sz w:val="28"/>
          <w:szCs w:val="28"/>
          <w:lang w:val="uk-UA"/>
        </w:rPr>
        <w:t xml:space="preserve">це </w:t>
      </w:r>
      <w:r>
        <w:rPr>
          <w:rFonts w:ascii="Times New Roman" w:hAnsi="Times New Roman"/>
          <w:sz w:val="28"/>
          <w:szCs w:val="28"/>
        </w:rPr>
        <w:t>комплекс заходів та послуг, спрямованих на відновлення або формування життєвих навичок, навчання орієнтуванню в просторі та мобільності, цифровим навичкам, вивчення шрифту Брайля, психологічну підтримку, сприяння соціальній інтеграції та працевлаштуванню;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послуги з адаптації осіб, які повністю або частково втратили зір (далі — послуги з адаптації) — це трирівнева система послуг, яка реалізує цілі та завдання адаптації осіб, які повністю або частково втратили зір, що надаються суб’єктами надання послуг з адаптації, з метою формування життєвих навичок, навчання орієнтуванню в просторі та мобільності, сучасними інформаційними технологіями, включаючи шрифт Брайля, надання психологічної підтримки та сприяння соціальній інтеграції та відшкодовуються замовником послуг з адаптації відповідно до цього Порядку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суб’єкти надання послуг з адаптації — юридичні особи незалежно від форми власності та організаційно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-</w:t>
      </w:r>
      <w:r>
        <w:rPr>
          <w:rFonts w:ascii="Times New Roman" w:hAnsi="Times New Roman"/>
          <w:sz w:val="28"/>
          <w:szCs w:val="28"/>
        </w:rPr>
        <w:t>правової форми або фізичні особи — підприємці, з якими перебувають у трудових або цивільно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-</w:t>
      </w:r>
      <w:r>
        <w:rPr>
          <w:rFonts w:ascii="Times New Roman" w:hAnsi="Times New Roman"/>
          <w:sz w:val="28"/>
          <w:szCs w:val="28"/>
        </w:rPr>
        <w:t>правових відносинах фахівці, або фізичні особи — підприємці, які відповідають вимогам до фахівця;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фахівець з надання послуг з адаптації (далі — фахівець) — особа, яка безпосередньо надає одну або декілька послуг з адаптації, має відповідний рівень вищої освіти, кваліфікації, досвід практичної роботи та має право провадити практичну діяльність в обсягах та на умовах, передбачених цим Порядком. 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Інші терміни вживаються у значенні, наведеному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Законах України “Основи законодавства України про охорону здоров’я”,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“Про соціальні послуги”, “Про соціальну роботу з сім’ями, дітьми та молоддю”, “Про реабілітацію у сфері охорони здоров’я”, “Про реабілітацію осіб з інвалідністю в Україні”,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“Про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соціальний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правовий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захист військовослужбовців та членів їх сімей”, “Про статус ветеранів війни, гарантії їх соціального захисту”, “Про державні фінансові гарантії медичного обслуговування населення”, “Про систему охорони психічного здоров’я” та інших нормативно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-</w:t>
      </w:r>
      <w:r>
        <w:rPr>
          <w:rFonts w:ascii="Times New Roman" w:hAnsi="Times New Roman"/>
          <w:sz w:val="28"/>
          <w:szCs w:val="28"/>
        </w:rPr>
        <w:t>правових актах з питань забезпечення соціального захисту, організації та надання соціальних і освітніх послуг, провадження соціальної роботи та реабілітації.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851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Метою експериментального проекту є створення умов для соціальної інтеграції, незалежного способу життя, соціальної, освітньої та реабілітаційної допомоги, психологічної підтримки та допомоги, а також сприяння працевлаштуванню та підвищенню якості життя осіб — отримувачів послуг з адаптації.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851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Координатором експериментального проекту є Мінветеранів.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Учасниками експериментального проекту є МОЗ, Мінсоцполітики, МОН, НСЗУ, районні, районні у містах Києві та Севастополі держадміністрації, виконавчі органи сільських, селищних, міських рад (за згодою), суб’єкти надання послуг з адаптації та особи — отримувачі послуг з адаптації.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851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Основними завданнями експериментального проекту є: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супроводу, надання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послуг з адаптації (в тому числі ознайомлення з рельєфно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крапковою системою Брайля та читанням рельєфних малюнків, сучасними інформаційними технологіями, що забезпечують доступ до комунікації та інформації, формування щоденних навичок, орієнтування в просторі та мобільності) та допомоги у сфері психічного здоров’я, необхідних для ефективної адаптації особи — отримувача послуг з адаптації;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розробка та реалізація навчальних програм для осіб — отримувачів послуг з адаптації, осіб, що перебувають у родинних стосунках або проживають в одному домогосподарстві та які доглядають особу — отримувача послуг з адаптації та фахівців, які працюють у сфері адаптації та реабілітації;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сприяння соціальній інтеграції осіб — отримувачів послуг з адаптації, що створює передумови для їхньої подальшої перекваліфікації та працевлаштування; 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умов для безбар’єрного доступу до об’єктів інфраструктури, включаючи переобладнання житла, адаптацію транспортних засобів, громадських, публічних та робочих місць для осіб, які повністю або частково втратили зір;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залучення організацій громадянського суспільства до процесу соціальної адаптації осіб — отримувачів послуг з адаптації;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якістю надання послуг з адаптації, моніторинг результативності програм та їх коригування відповідно до потреб осіб — отримувачів послуг з адаптації.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851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Послуги з адаптації можуть надаватися у такій формі: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індивідуальній — персонально особі — отримувачу послуг з адаптації (за відсутності сторонніх осіб);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сімейній — разом із особами, що перебувають у родинних стосунках або проживають в одному домогосподарстві та які доглядають особу — отримувача послуг з адаптації відповідно до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д</w:t>
      </w:r>
      <w:r>
        <w:rPr>
          <w:rFonts w:ascii="Times New Roman" w:hAnsi="Times New Roman"/>
          <w:sz w:val="28"/>
          <w:szCs w:val="28"/>
        </w:rPr>
        <w:t>овідки про здійснення догляду за громадянином (громадянкою), який (яка) є особою з інвалідністю (у разі наявності).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груповій — у групі з іншими особами — отримувачами послуг з адаптації у складі не більш як 10 осіб.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Вибір форми надання послуг з адаптації залежить від виду послуги, мети, завдань, етапу та шляхів надання послуги з адаптації.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851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Надання послуг з адаптації здійснюється з урахуванням таких принципів етичної та безпечної поведінки: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повага до прав людини, честі та гідності;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компетентність;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добровільність, що передбачає надання послуг з адаптації виключно за наявності отримання поінформованої і добровільної згоди особи — отримувача послуг з адаптації;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конфіденційність, що передбачає гарантування особистісної та соціальної безпеки особи — отримувача послуг з адаптації та збереження в таємниці всіх відомостей, отриманих під час надання послуги з адаптації.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Збирання та обробка персональних даних суб’єктами надання послуг з адаптації здійснюється з дотриманням вимог Законів України “Про захист персональних даних” та “Про захист інформації в інформаційно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комунікаційних системах”.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851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Надання послуг з адаптації розпочинається від моменту виявлення перших проявів можливих зорових порушень в особи у зв’язку з травмою, пораненням, які виникли внаслідок бойових дій або захворюванням, що пов’язане з проходженням військової служби або із захистом Батьківщини, до повної інтеграції у громаду.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851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Послуги з адаптації здійснюються на таких рівнях: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перший рівень — забезпечує надання послуг з адаптації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під час надання </w:t>
      </w:r>
      <w:r>
        <w:rPr>
          <w:rFonts w:ascii="Times New Roman" w:hAnsi="Times New Roman"/>
          <w:sz w:val="28"/>
          <w:szCs w:val="28"/>
          <w:lang w:val="uk-UA"/>
        </w:rPr>
        <w:t xml:space="preserve">особі </w:t>
      </w: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отримувачу послуг з адаптації стаціонарних медичних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у закладах охорони здоров’я з урахуванням отриманих травм, поранень та захворювань, а також у закладах охорони здоров’я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наказу Міністерства охорони здоров’я України від 13.02.2025 р. № 253 “Про затвердження нових клінічних протоколів за темою “Бойова травма”.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першому рівні забезпечується комплекс заходів, що здійснюють фахівці з реабілітації, які працюють в реабілітаційних закладах, відділеннях, підрозділах у складі мультидисциплінарної реабілітаційної команди (зокрема, навчання основам догляду за собою з урахуванням втрати зору, консультування щодо раннього використання допоміжних засобів реабілітації та інформування пацієнта про можливість отримати послуги з адаптації та комплексної допомоги у різних сферах відповідно до </w:t>
      </w:r>
      <w:hyperlink xmlns:r="http://schemas.openxmlformats.org/officeDocument/2006/relationships" r:id="R2" w:anchor="n71">
        <w:r>
          <w:rPr>
            <w:rFonts w:ascii="Times New Roman" w:hAnsi="Times New Roman"/>
            <w:sz w:val="28"/>
            <w:szCs w:val="28"/>
          </w:rPr>
          <w:t>пункту 17</w:t>
        </w:r>
      </w:hyperlink>
      <w:r>
        <w:rPr>
          <w:rFonts w:ascii="Times New Roman" w:hAnsi="Times New Roman"/>
          <w:sz w:val="28"/>
          <w:szCs w:val="28"/>
        </w:rPr>
        <w:t xml:space="preserve"> Порядку забезпечення діяльності фахівців із супроводу ветеранів війни та демобілізованих осіб, затвердженого постановою Кабінету Міністрів України від 2 серпня 2024 р. № 881 (Офіційний вісник України, 2024 р., № 73, ст. 4365, № 99, ст. 6317).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разі виявлення пацієнтом бажання щодо отримання послуг з адаптації під час надання йому медичних послуг в закладі охорони здоров’я стаціонарно, до роботи з пацієнтом можуть долучатися зокрема (але не виключно):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суб’єкт надання послуг з адаптації;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вчитель—дефектолог (спеціальний педагог), який має сертифікат про проходження курсу підвищення кваліфікації з орієнтування та мобільності з використанням білої тростини та без неї;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спеціаліст з адаптивних інформаційних технологій, який має другий (магістерський) рівень вищої освіти за спеціальністю відповідної галузі знань, зокрема у сфері інформаційних технологій та сертифікат з адаптивних інформаційних технологій (залучається для надання послуг з ознайомлення із сучасними інформаційними технологіями, що забезпечують доступ до комунікації та інформації).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Фахівці з реабілітації у сфері охорони здоров’я мультидисциплінарних реабілітаційних команд закладів охорони здоров’я можуть пройти навчання та вдосконалення знань і навичок в рамках безперервного професійного розвитку (за бажанням) з метою здобути відповідні знання та навички щодо навчання осіб, які повністю або частково втратили зір, з числа військовослужбовців, осіб, які звільнені з військової служби, ветеранів війни, осіб, які мають особливі заслуги перед Батьківщиною, а також осіб із числа сил безпеки і оборони України, які отримали травму, поранення або захворювання, пов’язане із повною або частковою втратою зору під час захисту Батьківщини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,</w:t>
      </w:r>
      <w:r>
        <w:rPr>
          <w:rFonts w:ascii="Times New Roman" w:hAnsi="Times New Roman"/>
          <w:sz w:val="28"/>
          <w:szCs w:val="28"/>
        </w:rPr>
        <w:t xml:space="preserve"> основам догляду за собою з урахуванням втрати зору, консультування щодо раннього використання допоміжних засобів реабілітації (біла тростина, смартфон та інші засоби побутової адаптації). 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другий рівень — забезпечує комплексний підхід в наданні послуг з адаптації на базі відповідних закладів та установ, які мають необхідну матеріально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технічну базу, фахівців та відповідають вимогам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, визначених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цим</w:t>
      </w:r>
      <w:r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ом.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другому рівні послуги з адаптації, що надаються у відповідних закладах, здійснюються відповідно до потреби особи — отримувача послуг з адаптації, а також з урахуванням навичок, отриманих під час проходження першого рівня, та включають навчання навичкам орієнтування в просторі та мобільності, формування щоденних навичок самообслуговування, ознайомлення з рельєфно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крапковою системою Брайля та читанням рельєфних малюнків, використання асистивних (допоміжних) технологій, що забезпечують доступ до комунікації та інформації, а також надається психологічний супровід особи — отримувача послуги з адаптації та її родини, інформування щодо можливостей участі в рекреаційних заходах та адаптивних видах спорту.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третій рівень — послуги з адаптації надаються на рівні громади. На цьом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рівні забезпечується додаткове навчання і супровід для відпрацювання навичок орієнтування в просторі та мобільності за місцем проживання (квартира, будинок), організація простору для зручності особи — отримувача послуг з адаптації, побудови та відпрацювання пересування основними маршрутами поза місцем проживання тощо.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Супровід в громаді також включає комплексну соціальну послугу та адаптацію, допомогу у самообслуговуванні вдома, підтримку у сфері зайнятості та працевлаштування, організацію дозвілля, а також надання допомоги у вирішенні адміністративних, юридичних і соціальних питань.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першому рівні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,</w:t>
      </w:r>
      <w:r>
        <w:rPr>
          <w:rFonts w:ascii="Times New Roman" w:hAnsi="Times New Roman"/>
          <w:sz w:val="28"/>
          <w:szCs w:val="28"/>
        </w:rPr>
        <w:t xml:space="preserve"> у разі виявлення пацієнтом бажання скористатися послугами, зазначеними у підпункті 1 пункту 9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 цього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Порядку</w:t>
      </w:r>
      <w:r>
        <w:rPr>
          <w:rFonts w:ascii="Times New Roman" w:hAnsi="Times New Roman"/>
          <w:sz w:val="28"/>
          <w:szCs w:val="28"/>
        </w:rPr>
        <w:t>, лікуючий лікар або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,</w:t>
      </w:r>
      <w:r>
        <w:rPr>
          <w:rFonts w:ascii="Times New Roman" w:hAnsi="Times New Roman"/>
          <w:sz w:val="28"/>
          <w:szCs w:val="28"/>
        </w:rPr>
        <w:t xml:space="preserve"> у разі надання реабілітаційної допомоги в сфері охорони здоров’я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,</w:t>
      </w:r>
      <w:r>
        <w:rPr>
          <w:rFonts w:ascii="Times New Roman" w:hAnsi="Times New Roman"/>
          <w:sz w:val="28"/>
          <w:szCs w:val="28"/>
        </w:rPr>
        <w:t xml:space="preserve"> соціальний працівник, який долучений до роботи мультидисциплінарної реабілітаційної команди, або інший член мультидисциплінарної реабілітаційної команди допомагає звернутися із заявою до суб’єкта надання послуг з адаптації.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Потреба в послузі з адаптації, яка надається на другому рівні, визначається особою — отримувачем послуг з адаптації.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Потребу у послугах з адаптації, які надаються суб’єктом надання послуг з адаптації на третьому рівні, визначають районні, районні в мм. Києві та Севастополі держадміністрації, виконавчі органи сільських, селищних, міських рад за адресою задекларованого/зареєстрованого місця проживання (перебування) осіб — отримувачів послуг з адаптації із залученням фахівців із супроводу ветеранів війни та демобілізованих осіб та/або інших фахівців (за потреби), які пройшли програму з підвищення кваліфікації фахівців, які надають послуги з адаптації, на базі закладів, визначених Мінветеранів.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Запланована кількість осіб — отримувачів послуг, які отрим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>ють послуги з адаптації на першому та другому рівнях під час реалізації експериментального проекту, становить 200 осіб у 2025 році та 500 осіб у 2026 році.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Експериментальний проект на першому та другому рівнях реалізується за рахунок коштів, передбачених у загальному фонді державного бюджету за бюджетною програмою “Заходи з підтримки та допомоги ветеранам війни, членам їх сімей та членам родин загиблих” (далі — бюджетні кошти)</w:t>
      </w:r>
      <w:r>
        <w:rPr>
          <w:rFonts w:ascii="Times New Roman" w:hAnsi="Times New Roman"/>
          <w:sz w:val="28"/>
          <w:szCs w:val="28"/>
          <w:lang w:val="uk-UA"/>
        </w:rPr>
        <w:t xml:space="preserve">, а на третьому рівні </w:t>
      </w: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  <w:lang w:val="uk-UA"/>
        </w:rPr>
        <w:t xml:space="preserve"> за рахунок коштів місцевих бюджетів </w:t>
      </w:r>
      <w:r>
        <w:rPr>
          <w:rFonts w:ascii="Times New Roman" w:hAnsi="Times New Roman"/>
          <w:sz w:val="28"/>
          <w:szCs w:val="28"/>
        </w:rPr>
        <w:t>та інших не заборонених джерел фінансування.</w:t>
      </w:r>
    </w:p>
    <w:p>
      <w:pP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Суб’єктами надання послуг з адаптації на першому та другому рівнях здійснюється надання послуг з адаптації за рахунок бюджетних коштів на підставі договорів про відшкодування вартості наданих послуг з адаптації, укладених відповідно до цього Порядку, крім послуг, фінансування яких здійснюється за рахунок коштів інших програм державного бюджету та місцевих бюджетів, а також інших джерел, не заборонених законодавством.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Особа — отримувач послуг з адаптації має право: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вибирати та змінювати суб’єкта надання послуг з адаптації;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отримувати інформацію про послуги з адаптації, зокрема про результати діагностики, мету та зміст послуг з адаптації;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отримати послуги з адаптації належної якості;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відмовитися від певних або всіх видів послуг з адаптації із зазначенням обґрунтованої причини такої відмови;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надавати зворотній зв’язок щодо якості послуг з адаптації, суб’єкта надання послуг з адаптації тощо.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Суб’єкти надання послуг з адаптації мають право: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здійснювати супровід та сприяти дотрим</w:t>
      </w:r>
      <w:r>
        <w:rPr>
          <w:rFonts w:ascii="Times New Roman" w:hAnsi="Times New Roman"/>
          <w:sz w:val="28"/>
          <w:szCs w:val="28"/>
          <w:lang w:val="uk-UA"/>
        </w:rPr>
        <w:t>анню</w:t>
      </w:r>
      <w:r>
        <w:rPr>
          <w:rFonts w:ascii="Times New Roman" w:hAnsi="Times New Roman"/>
          <w:sz w:val="28"/>
          <w:szCs w:val="28"/>
        </w:rPr>
        <w:t xml:space="preserve"> правил і норм етичної поведінки, виконувати визначений індивідуальний план з адаптації особою — отримувачем послуг з адаптації;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отримувати відшкодування за надані послуги з адаптації в розмірах та порядку, що визначаються цим Порядком;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припинити надання відповідних послуг відповідно до договору між суб’єктом надання послуг з адаптації та особою — отримувачем послуг з адаптації, у разі порушення особою правил і норм етичної поведінки, невиконання індивідуального плану з адаптації та/або недотримання рекомендацій і визначеного індивідуального плану з адаптації.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Суб’єкти надання послуг з адаптації зобов’язані: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мати офіційні трудові відносини (контракти) або цивільно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правові договори про надання послуг з фахівцями, що безпосередньо надаватимуть послуги з адаптації (для юридичних осіб);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мати офіційні трудові відносини (контракти) або цивільно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правові договори про надання послуг з фахівцями, що безпосередньо надаватимуть послуги з адаптації або відповідати вимогам до фахівця, що безпосередньо надає такі послуги (для фізичних осіб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—</w:t>
      </w:r>
      <w:r>
        <w:rPr>
          <w:rFonts w:ascii="Times New Roman" w:hAnsi="Times New Roman"/>
          <w:sz w:val="28"/>
          <w:szCs w:val="28"/>
        </w:rPr>
        <w:t>підприємців);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мати кабінет (кабінети) для надання індивідуальних (сімейних або групових) послуг з адаптації або мати можливість оренди такого кабінету/кабінетів в будівлях, які відповідають нормам ДБН В.2.2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—</w:t>
      </w:r>
      <w:r>
        <w:rPr>
          <w:rFonts w:ascii="Times New Roman" w:hAnsi="Times New Roman"/>
          <w:sz w:val="28"/>
          <w:szCs w:val="28"/>
        </w:rPr>
        <w:t xml:space="preserve">40:2018 “Будинки і споруди. Інклюзивність будівель і споруд. Основні положення”, або обладнане робоче місце (у разі дистанційного надання послуг) — для другого та третього рівнів. Для суб’єктів надання послуг з адаптації, що надають послуги з адаптації на першому рівні, відповідний заклад охорони здоров’я на безоплатній основні забезпечує </w:t>
      </w:r>
      <w:r>
        <w:rPr>
          <w:rFonts w:ascii="Times New Roman" w:hAnsi="Times New Roman"/>
          <w:sz w:val="28"/>
          <w:szCs w:val="28"/>
          <w:lang w:val="uk-UA"/>
        </w:rPr>
        <w:t>належні</w:t>
      </w:r>
      <w:r>
        <w:rPr>
          <w:rFonts w:ascii="Times New Roman" w:hAnsi="Times New Roman"/>
          <w:sz w:val="28"/>
          <w:szCs w:val="28"/>
        </w:rPr>
        <w:t xml:space="preserve"> умови для надання цих послуг на своїй території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rFonts w:ascii="Times New Roman" w:hAnsi="Times New Roman"/>
          <w:sz w:val="28"/>
          <w:szCs w:val="28"/>
        </w:rPr>
        <w:t>згідно з зазначеними нормами та вимогами до інклюзивності;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початком надання послуг з адаптації отримати інформовану </w:t>
      </w:r>
      <w:r>
        <w:rPr>
          <w:rFonts w:ascii="Times New Roman" w:hAnsi="Times New Roman"/>
          <w:sz w:val="28"/>
          <w:szCs w:val="28"/>
          <w:lang w:val="uk-UA"/>
        </w:rPr>
        <w:t xml:space="preserve">добровільну </w:t>
      </w:r>
      <w:r>
        <w:rPr>
          <w:rFonts w:ascii="Times New Roman" w:hAnsi="Times New Roman"/>
          <w:sz w:val="28"/>
          <w:szCs w:val="28"/>
        </w:rPr>
        <w:t>згоду особи — отримувача послуг з адаптації відповідно до вимог чинного законодавства.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Суб’єкт надання послуг з адаптації інформує особу — отримувача послуг з адаптації про мету, методи та зміст процесу надання послуг, очікувані результати.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Для фіксації результатів надання послуг з адаптації суб’єкт надання послуг з адаптації веде таку документацію: індивідуальний план з адаптації; акт наданих послуг з адаптації (далі — акт наданих послуг); звіт про надані послуги з адаптації (далі — звіт про надані послуги) в паперовому та електронному вигляді.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Примірна форма індивідуального плану з адаптації та договору про відшкодування вартості наданих послуг з адаптації затверджуються Мінветеранів.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Індивідуальний план з адаптації складається за результатами діагностики/оцінки та співбесіди суб’єкта надання послуг з адаптації та особи — отримувача послуг з адаптації та відповідно до потреб особи — отримувача послуг з адаптації.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Індивідуальний план з адаптації складається в двох примірниках, один з яких надається особі — отримувачу послуг з адаптації.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Для звітування про фактично надані послуги з адаптації та здійснені заходи, визначені індивідуальним планом з адаптації, суб’єктом надання послуг з адаптації щомісяця складається звіт про надані послуги, який містить інформацію за звітний період про загальний обсяг наданих послуг з адаптації за видами та рівнями їх надання.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Звіти про надані послуги подаються щомісяця до 5 числа місяця, що настає, замовнику послуг з адаптації.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Складовою частиною звіту про надані послуги з адаптації є акт наданих послуг, який є підставою для проведення замовником послуг з адаптації розрахунків із суб’єктом надання послуг з адаптації.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Відповідальність за достовірність даних, зазначених у звіті про надані послуги та акті наданих послуг, несе суб’єкт надання послуг з адаптації.</w:t>
      </w:r>
    </w:p>
    <w:p>
      <w:pPr>
        <w:shd w:val="clear" w:fill="FFFFFF"/>
        <w:spacing w:lineRule="auto" w:line="240" w:before="120" w:after="0" w:beforeAutospacing="0" w:afterAutospacing="0"/>
        <w:ind w:right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Основні засади функціонування </w:t>
      </w:r>
    </w:p>
    <w:p>
      <w:pPr>
        <w:shd w:val="clear" w:fill="FFFFFF"/>
        <w:spacing w:lineRule="auto" w:line="240" w:after="0" w:beforeAutospacing="0" w:afterAutospacing="0"/>
        <w:ind w:right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першого рівня надання послуг з адаптації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першому рівні адаптації здійснюються такі заходи: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підготовка індивідуального плану з адаптації;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початкове навчання орієнтуванню в просторі, особливостям самообслуговування та самостійності, а також комунікації за допомогою спеціальних додатків для телефону;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навчання основам догляду за собою з урахуванням втрати зору; 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4)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консультування щодо раннього використання допоміжних засобів (біла тростина, смартфон та інші засоби побутової адаптації) та інформування про доступні послуги з реабілітації, адаптації та соціальної підтримки;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>) інформування членів сім’ї щодо особливостей догляду та супроводу;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>) сприяння в отриманні лікарських засобів, а також допоміжних засобів реабілітації та корекції зору (за потреби);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>) психологічна підтримка та супровід, який включає: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діагностику психологічного стану, готовності та бажання до адаптації, особливостей і можливостей осіб — отримувачів послуг з адаптації;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підбір психологічних заходів із урахуванням психологічного стану та психологічного благополуччя, навчальний і реабілітаційний прогноз;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сприяння своєчасному та якісному подоланню негативних поведінкових і емоційних наслідків втрати зору осіб — отримувачів послуг з адаптації шляхом реалізації комплексу заходів індивідуальної та групової роботи в залежності від результатів діагностики, спрямованих на подолання кризи особистості, усунення почуття неповноцінності, тривожних проявів, а також формування адекватного розуміння психологічних наслідків втрати зору, цілісних установок з усвідомленням своєї значущості і соціальної повноцінності;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стійких позитивних змін у психоемоційній сфері та структурі особистості особи — отримувача послуг з адаптації;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адекватного ставлення членів сім’ї до втрати повністю або частково зору особою — отримувачем послуг з адаптації;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оцінка ефективності проведених психологічних заходів і наданих послуг з адаптації.</w:t>
      </w:r>
    </w:p>
    <w:p>
      <w:pPr>
        <w:keepNext w:val="1"/>
        <w:shd w:val="clear" w:fill="FFFFFF"/>
        <w:spacing w:lineRule="auto" w:line="240" w:before="120" w:after="0" w:beforeAutospacing="0" w:afterAutospacing="0"/>
        <w:ind w:right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Основні засади функціонування </w:t>
        <w:br w:type="textWrapping"/>
        <w:t>другого рівня надання послуг з адаптації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другому рівні адаптації надаються такі послуги: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ознайомлення з рельєфно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крапковою системою Брайля та читанням рельєфних малюнків, що передбачає: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отримання знань і навичок про основи письма і читання шрифтом Брайля;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розвиток тактильних відчуттів, формування вміння користуватися дотиком в пізнавальній діяльності;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умов для формування навичок читання і письма, а також з натуральною і зображувальною наочністю;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навчання читанню рельєфних малюнків і знайомство з реальним малюванням;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навичок використання збережених аналізаторів для формування нових та уточнення раніше сформованих уявлень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) формування щоденних навичок самообслуговування, що передбачає набуття необхідних знань і компетентностей для здійснення організації домашнього побуту та приготування їжі, особистої гігієни, догляду за житлом, одягом та взуттям, освоєння спеціальних сервісів, удосконалення практичних навичок використання сервісів для осіб з інвалідністю в магазинах, на вокзалах, в аеропортах, інтернет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-</w:t>
      </w:r>
      <w:r>
        <w:rPr>
          <w:rFonts w:ascii="Times New Roman" w:hAnsi="Times New Roman"/>
          <w:sz w:val="28"/>
          <w:szCs w:val="28"/>
        </w:rPr>
        <w:t>доставки товарів тощо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>) орієнтування в просторі, що передбачає: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діагностику знань та навичок та складання індивідуального плану занять;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стимулювання процесу компенсації втрачених зорових функцій та формування навичок активного та усвідомленого використання збережених аналізаторів для орієнтування в просторі;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координації руху, орієнтування відносно свого тіла та певної точки відліку;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опанування спеціальних прийомів орієнтування в малому та великому просторі;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ознайомлення та використання тифлопристосувань та засобів для орієнтування в просторі;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базові техніки і прийоми орієнтування та пересування особи з білою тростиною та без неї;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вмінь і навичок пересування з особою, яка супроводжує особу — отримувача послуг з адаптації;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вмінь і навичок використання білої тростини для орієнтування у великому просторі;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підвищення мобільності особи — отримувача послуг з адаптації (вміння самостійно діяти в навколишньому середовищі за різних погодних умов);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вмінь та навичок користування транспортом;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навичок словесного проговорювання маршруту та вміння переносити уявлення про вивчений простір на план;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топографічних уявлень про місто (населений пункт) та його цілісне сприйняття;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надання консультативної допомоги особі, яка супроводжує, з питань організації орієнтування на конкретних маршрутах;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)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використання асистивних засобів та сучасних інформаційних технологій, що забезпечують доступ до комунікації та інформації для осіб, що передбачає: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ознайомлення та навчання основним прийомам і технікам роботи з сучасними смарт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девайсами;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набуття навичок використання персонального комп’ютера та адаптивних комп’ютерних програм для комунікації, отримання інформації та роботи з нею;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набуття навичок самостійного отримання онлайн послуг;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>)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сприяння соціальній інтеграції осіб — отримувачів послуг з адаптації, що створює передумови для їхньої подальшої перекваліфікації </w:t>
        <w:br w:type="textWrapping"/>
        <w:t>та працевлаштування передбачає надання інформації та консультування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можливостей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навчання,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перекваліфікації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подальшого працевлаштування;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>)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інформування щодо адаптивних видів спорту та рекреаційних заходів;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>) психосоціальна допомога та супровід особи — отримувача послуг з адаптації та членів їх сімей, включаючи сімейні консультації, навчання методам подолання стресових, кризових ситуацій тощо.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Послуги з адаптації на другому рівні здійснюються суб’єктами надання послуг з адаптації незалежно від форми власності, а також фізичними особами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підприємцями та громадськими організаціями, які відповідають критеріям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,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визн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ачених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цим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 Порядк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ом.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right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Відшкодування послуг з адаптації на першому та другому рівні суб’єктам надання послуг з адаптації 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264" w:leader="none"/>
          <w:tab w:val="left" w:pos="993" w:leader="none"/>
        </w:tabs>
        <w:spacing w:lineRule="auto" w:line="240" w:before="120" w:after="0" w:beforeAutospacing="0" w:afterAutospacing="0"/>
        <w:ind w:firstLine="566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Для надання послуг з адаптації на першому та другому рівні суб’єкти надання послуг з адаптації повинні відповідати критеріям якості, кваліфікації, компетентності та досвіду практичної роботи.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264" w:leader="none"/>
          <w:tab w:val="left" w:pos="993" w:leader="none"/>
        </w:tabs>
        <w:spacing w:lineRule="auto" w:line="240" w:after="0" w:beforeAutospacing="0" w:afterAutospacing="0"/>
        <w:ind w:firstLine="566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Оцінка відповідності суб’єкта надання послуг з адаптації здійснюється за такими критеріями: 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щодо якості надання послуг: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 спеціалізованої матеріально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технічної бази, що відповідає ДБН В.2.2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 xml:space="preserve">40:2018 “Інклюзивність будівель і споруд. Основні положення”, ДСТУ ISO 23599:2017, ДСТУ ISO 17049:2017, санітарним нормам та вимогам доступності для осіб з порушеннями зору (включаючи тактильні направляючі, контрастні позначки, адаптовані санвузли, пандуси/ліфти) (далі — затверджені стандарти та вимоги у сфері забезпечення доступності та інклюзивності), а також забезпеченість спеціалізованим обладнанням та технічними засобами для навчання осіб з порушеннями зору; 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наявність внутрішніх стандартів, процедур та регламентів надання послуг, що охоплюють всі етапи роботи з особами — отримувачами послуг з адаптації (система управління якістю)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щодо кваліфікації та компетентності персоналу — наявність  у фахівців: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вищої освіти за спеціальністю “Дефектологія”, “Корекційна освіта” (за нозологіями), “Інструктор з просторового орієнтування та мобільності” або вищої освіти в інших галузях знань (А “Освіта”, С “Соціальні науки, журналістика та інформація”, І “Охорона здоров’я та соціальне забезпечення”, 01 — “Освіта/Педагогіка”, 05 — “Соціальні та поведінкові науки”, 23 — “Соціальна робота”);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підтвердження регулярного проходження курсів підвищення кваліфікації (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не рідше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,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ніж о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дин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раз на 3 роки</w:t>
      </w:r>
      <w:r>
        <w:rPr>
          <w:rFonts w:ascii="Times New Roman" w:hAnsi="Times New Roman"/>
          <w:sz w:val="28"/>
          <w:szCs w:val="28"/>
        </w:rPr>
        <w:t xml:space="preserve">) та участі у професійних заходах; 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щодо досвіду практичної роботи суб’єкта — підтверджений досвід діяльності у сфері адаптації осіб з порушеннями зору не менше 2 років, що підтверджується наданням документально підтвердженої інформації про кількість осіб з порушеннями зору, які успішно пройшли курс адаптації. </w:t>
      </w:r>
    </w:p>
    <w:p>
      <w:pPr>
        <w:numPr>
          <w:ilvl w:val="0"/>
          <w:numId w:val="2"/>
        </w:numP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6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Відшкодування вартості наданих послуг суб’єктам надання послуг з адаптації на першому та другому рівні здійснюється на підставі звітів про надані послуги та актів наданих послуг за договором про відшкодування вартості наданих послуг з адаптації, що подані до Мінветеранів суб’єктами надання послуг з адаптації.</w:t>
      </w:r>
    </w:p>
    <w:p>
      <w:pPr>
        <w:pStyle w:val="P13"/>
        <w:shd w:val="clear" w:fill="FFFFFF"/>
        <w:spacing w:before="0" w:after="150" w:beforeAutospacing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Акт наданих послуг складається для звітування про фактично надані послуги з адаптації та здійснені заходи, визначені індивідуальним планом, і засвідчується підписами суб’єкта надання послуг з адаптації та замовника послуг з адаптації.</w:t>
      </w:r>
    </w:p>
    <w:p>
      <w:pPr>
        <w:pStyle w:val="P13"/>
        <w:shd w:val="clear" w:fill="FFFFFF"/>
        <w:spacing w:before="0" w:after="150" w:beforeAutospacing="0" w:afterAutospacing="0"/>
        <w:ind w:firstLine="450"/>
        <w:jc w:val="both"/>
        <w:rPr>
          <w:sz w:val="28"/>
          <w:szCs w:val="28"/>
        </w:rPr>
      </w:pPr>
      <w:bookmarkStart w:id="0" w:name="n595"/>
      <w:bookmarkEnd w:id="0"/>
      <w:r>
        <w:rPr>
          <w:sz w:val="28"/>
          <w:szCs w:val="28"/>
        </w:rPr>
        <w:t>Відповідальність за достовірність даних, зазначених в акті наданих послуг, несе суб’єкт надання послуг з адаптації.</w:t>
      </w:r>
    </w:p>
    <w:p>
      <w:pPr>
        <w:pStyle w:val="P13"/>
        <w:shd w:val="clear" w:fill="FFFFFF"/>
        <w:spacing w:before="0" w:after="150" w:beforeAutospacing="0" w:afterAutospacing="0"/>
        <w:ind w:firstLine="450"/>
        <w:jc w:val="both"/>
        <w:rPr>
          <w:sz w:val="28"/>
          <w:szCs w:val="28"/>
        </w:rPr>
      </w:pPr>
      <w:bookmarkStart w:id="1" w:name="n596"/>
      <w:bookmarkEnd w:id="1"/>
      <w:r>
        <w:rPr>
          <w:sz w:val="28"/>
          <w:szCs w:val="28"/>
        </w:rPr>
        <w:t>Якщо послуги з адаптації надаються відповідно до договору, акт наданих послуг є складовою частиною звіту про надані послуги та є підставою для проведення замовником послуг з адаптації розрахунків із суб’єктом надання послуг з адаптації.</w:t>
      </w:r>
    </w:p>
    <w:p>
      <w:pPr>
        <w:numPr>
          <w:ilvl w:val="0"/>
          <w:numId w:val="2"/>
        </w:numPr>
        <w:shd w:val="clear" w:fill="FFFFFF"/>
        <w:tabs>
          <w:tab w:val="left" w:pos="993" w:leader="none"/>
        </w:tabs>
        <w:spacing w:lineRule="auto" w:line="240" w:after="0" w:beforeAutospacing="0" w:afterAutospacing="0"/>
        <w:ind w:firstLine="566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Граничний розмір відшкодування за надані послуги з адаптації одній особі — отримувачу послуг з адаптації на першому рівні, що підлягають відшкодуванню за договором, не може перевищувати у </w:t>
        <w:br w:type="textWrapping"/>
        <w:t xml:space="preserve">2025 році для послуги “Орієнтування в просторі та мобільність” — </w:t>
        <w:br w:type="textWrapping"/>
        <w:t xml:space="preserve">18 325, 53 гривень, “Асистивні технології” — 10 995,32 гривень, “Вивчення шрифту Брайля” — 8 959,15 гривень;  у 2026 році (з урахуванням індексу споживчих цін) не може перевищувати для послуги “Орієнтування в просторі та мобільність” — 19 901, 53 гривень, “Асистивні технології” — </w:t>
        <w:br w:type="textWrapping"/>
        <w:t>11 940,92 гривень, “Вивчення шрифту Брайля” — 9 729,64 гривень.</w:t>
      </w:r>
    </w:p>
    <w:p>
      <w:pPr>
        <w:numPr>
          <w:ilvl w:val="0"/>
          <w:numId w:val="2"/>
        </w:numPr>
        <w:shd w:val="clear" w:fill="FFFFFF"/>
        <w:tabs>
          <w:tab w:val="left" w:pos="993" w:leader="none"/>
        </w:tabs>
        <w:spacing w:lineRule="auto" w:line="240" w:after="0" w:beforeAutospacing="0" w:afterAutospacing="0"/>
        <w:ind w:firstLine="566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Граничний розмір відшкодування за надані послуги з адаптації одній особі — отримувачу послуг з адаптації на другому рівні, що підлягають відшкодуванню за договором про відшкодування вартості наданих послуг з адаптації, визначається залежно від тривалості та умов надання послуг, а саме: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послуг тривалістю 21 день — не може перевищувати 38 076,01 гривень у 2025 році та 41 350,95 гривень — 2026 році </w:t>
        <w:br w:type="textWrapping"/>
        <w:t>(з урахуванням індексу споживчих цін), якщо послуги надаються без відповідного розміщення та організації харчування, або 61 825,96 гривень у 2025 році та 65 518,0 гривень — 2026 році (з урахуванням індексу споживчих цін), якщо послуги надаються з відповідним розміщенням та організацією харчування;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послуг тривалістю 56 днів — не може перевищувати 102 012,13 гривень у 2025 році та 110 785,17 гривень — 2026 році (з урахуванням індексу споживчих цін), якщо послуги надаються без відповідного розміщення та організації харчування, або 165 345,33 гривень у 2025 році та 175 230,63 гривень — 2026 році (з урахуванням індексу споживчих цін), якщо послуги надаються з відповідним розміщенням та організацією харчування.</w:t>
      </w:r>
    </w:p>
    <w:p>
      <w:pPr>
        <w:numPr>
          <w:ilvl w:val="0"/>
          <w:numId w:val="2"/>
        </w:numP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6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Для отримання послуги з адаптації першого або другого рівня особа — отримувач послуг може звернутися безпосередньо до суб’єкта надання послуг з адаптації або за наявності технічної можливості звернутися до Мінветеранів із заявою в електронній формі через Єдиний державний реєстр ветеранів війни або Портал Дія, у тому числі за допомогою мобільного додатка Порталу Дія (Дія).</w:t>
      </w:r>
    </w:p>
    <w:p>
      <w:pPr>
        <w:numPr>
          <w:ilvl w:val="0"/>
          <w:numId w:val="2"/>
        </w:numPr>
        <w:shd w:val="clear" w:fill="FFFFFF"/>
        <w:tabs>
          <w:tab w:val="left" w:pos="993" w:leader="none"/>
        </w:tabs>
        <w:spacing w:lineRule="auto" w:line="240" w:after="0" w:beforeAutospacing="0" w:afterAutospacing="0"/>
        <w:ind w:firstLine="566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Під час надання медичної та/або реабілітаційної допомоги в стаціонарних умовах лікуючий лікар або у разі надання реабілітаційної допомоги в сфері охорони здоров’я соціальний працівник, який залучений до роботи мультидисциплінарної реабілітаційної команди, або інший член мультидисциплінарної реабілітаційної команди або фахівець із супроводу ветеранів війни та демобілізованих осіб інформує особу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— отримувач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послуги з адаптації.</w:t>
      </w:r>
    </w:p>
    <w:p>
      <w:pPr>
        <w:shd w:val="clear" w:fill="FFFFFF"/>
        <w:spacing w:lineRule="auto" w:line="240" w:after="0" w:beforeAutospacing="0" w:afterAutospacing="0"/>
        <w:ind w:firstLine="720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Підставою для отримання послуг з адаптації, яка надається суб’єктом надання послуг з адаптації на першому та другому рівні є особисте звернення отримувача послуг з адаптації в усній чи паперовій або електронній формі до фахівця з надання послуг з адаптації або до суб’єкта надання послуг з адаптації.</w:t>
      </w:r>
    </w:p>
    <w:p>
      <w:pPr>
        <w:numPr>
          <w:ilvl w:val="0"/>
          <w:numId w:val="2"/>
        </w:numPr>
        <w:tabs>
          <w:tab w:val="left" w:pos="993" w:leader="none"/>
        </w:tabs>
        <w:spacing w:lineRule="auto" w:line="240" w:before="120" w:after="0" w:beforeAutospacing="0" w:afterAutospacing="0"/>
        <w:ind w:firstLine="566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Для отримання послуг особа — отримувач послуги з адаптації звертається до суб’єкта надання послуг з адаптації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та </w:t>
      </w:r>
      <w:r>
        <w:rPr>
          <w:rFonts w:ascii="Times New Roman" w:hAnsi="Times New Roman"/>
          <w:sz w:val="28"/>
          <w:szCs w:val="28"/>
        </w:rPr>
        <w:t>пред’являє оригінали таких документів: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firstLine="566" w:left="0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а</w:t>
      </w:r>
      <w:r>
        <w:rPr>
          <w:rFonts w:ascii="Times New Roman" w:hAnsi="Times New Roman"/>
          <w:sz w:val="28"/>
          <w:szCs w:val="28"/>
        </w:rPr>
        <w:t xml:space="preserve"> громадянина України/паспорт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а</w:t>
      </w:r>
      <w:r>
        <w:rPr>
          <w:rFonts w:ascii="Times New Roman" w:hAnsi="Times New Roman"/>
          <w:sz w:val="28"/>
          <w:szCs w:val="28"/>
        </w:rPr>
        <w:t xml:space="preserve"> громадянина України для виїзду за кордон або е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а</w:t>
      </w:r>
      <w:r>
        <w:rPr>
          <w:rFonts w:ascii="Times New Roman" w:hAnsi="Times New Roman"/>
          <w:sz w:val="28"/>
          <w:szCs w:val="28"/>
        </w:rPr>
        <w:t>/е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а</w:t>
      </w:r>
      <w:r>
        <w:rPr>
          <w:rFonts w:ascii="Times New Roman" w:hAnsi="Times New Roman"/>
          <w:sz w:val="28"/>
          <w:szCs w:val="28"/>
        </w:rPr>
        <w:t xml:space="preserve"> для виїзду за кордон; 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firstLine="566" w:left="0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реєстраційн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ого </w:t>
      </w:r>
      <w:r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у</w:t>
      </w:r>
      <w:r>
        <w:rPr>
          <w:rFonts w:ascii="Times New Roman" w:hAnsi="Times New Roman"/>
          <w:sz w:val="28"/>
          <w:szCs w:val="28"/>
        </w:rPr>
        <w:t xml:space="preserve">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податків, — паспорт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а</w:t>
      </w:r>
      <w:r>
        <w:rPr>
          <w:rFonts w:ascii="Times New Roman" w:hAnsi="Times New Roman"/>
          <w:sz w:val="28"/>
          <w:szCs w:val="28"/>
        </w:rPr>
        <w:t xml:space="preserve"> громадянина України з відміткою відповідного контролюючого органу);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firstLine="566" w:left="0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посвідчення учасника бойових дій або особи з інвалідністю внаслідок війни, довідк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и</w:t>
      </w:r>
      <w:r>
        <w:rPr>
          <w:rFonts w:ascii="Times New Roman" w:hAnsi="Times New Roman"/>
          <w:sz w:val="28"/>
          <w:szCs w:val="28"/>
        </w:rPr>
        <w:t xml:space="preserve">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— для військовослужбовців.</w:t>
      </w:r>
    </w:p>
    <w:p>
      <w:pPr>
        <w:shd w:val="clear" w:fill="FFFFFF"/>
        <w:spacing w:lineRule="auto" w:line="240" w:before="120" w:after="0" w:beforeAutospacing="0" w:afterAutospacing="0"/>
        <w:ind w:right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Основні засади функціонування </w:t>
      </w:r>
    </w:p>
    <w:p>
      <w:pPr>
        <w:shd w:val="clear" w:fill="FFFFFF"/>
        <w:spacing w:lineRule="auto" w:line="240" w:after="0" w:beforeAutospacing="0" w:afterAutospacing="0"/>
        <w:ind w:right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третього рівня надання послуг з адаптації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третьому рівні адаптації, що здійснюється на рівні громади, забезпечуються такі заходи: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консультативна підтримка та супровід осіб — отримувачів послуг з адаптації, включаючи соціальний супровід та адаптаці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ю</w:t>
      </w:r>
      <w:r>
        <w:rPr>
          <w:rFonts w:ascii="Times New Roman" w:hAnsi="Times New Roman"/>
          <w:sz w:val="28"/>
          <w:szCs w:val="28"/>
        </w:rPr>
        <w:t xml:space="preserve"> в громаді;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допомога у самообслуговуванні вдома;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навчання пересуванню у переоблаштованому місці проживання, відпрацювання навичок орієнтування за місцем проживання та організація простору для зручності особи — отримувача послуг з адаптації;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навчання пересуванню поза місцем проживання (у громадських місцях, громадському транспорті тощо);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підтримка у сфері зайнятості та працевлаштування, включаючи створення та організація робочих місць для людей з втратою зору відповідно до затверджених стандартів та вимог у сфері забезпечення доступності та інклюзивності;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організація дозвілля;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надання адміністративних, юридичних і соціальних послуг, включаючи допомогу у встановленні статусу особи з інвалідністю внаслідок війни, оформленні необхідних документів для отримання пільг, гарантій та соціальних послуг;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створення безбар’єрного середовища в громаді та облаштування доступних маршрутів;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соціальна адаптація осіб з втратою зору у громаду, забезпечуючи включення членів громади у процес підтримки через навчання принципам коректної комунікації та взаємодії з людьми, які мають порушення зору;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підтримання навичок опанування використання асистивних (допоміжних) технологій;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підвищення кваліфікації фахівців, які надають послуги особам — отримувачам послуг з адаптації.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Послуги з адаптації на третьому рівні здійснюються районними, в мм. Києві та Севастополі держадміністраціями, виконавчими органами сільських, селищних, міських рад шляхом залучення фахівців із супроводу ветеранів війни та демобілізованих осіб, соціальних робітників та інших необхідних спеціалістів.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Облаштування житла та робочих місць для осіб — отримувачів послуг з адаптації здійснюється відповідно до чинних державних будівельних норм та стандартів доступності, розроблених та затверджених Мінсоцполітики.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Облаштування житла та робочих місць отримувачів послуг з адаптації здійснюється в межах наявних бюджетних асигнувань та інших не заборонених джерел законодавством, а також відповідно до затверджених стандартів за сприяння орган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ів</w:t>
      </w:r>
      <w:r>
        <w:rPr>
          <w:rFonts w:ascii="Times New Roman" w:hAnsi="Times New Roman"/>
          <w:sz w:val="28"/>
          <w:szCs w:val="28"/>
        </w:rPr>
        <w:t xml:space="preserve"> місцевого самоврядування. 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Для надання послуг з адаптації третього рівня за рахунок коштів місцевих бюджетів або отриманих з інших джерел, не заборонених законодавством, особа — отримувач послуг з адаптації звертається до структурного підрозділу, на який покладено функції з питань ветеранської політики, за задекларованим/зареєстрованим місцем проживання (перебування) (далі — структурний підрозділ з питань ветеранської політики) з письмовою заявою. 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 час дії на території України або адміністративно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територіальної одиниці надзвичайного або воєнного стану заяву може бути подано за місцем звернення особи — отримувача послуг з адаптації незалежно від її задекларованого/зареєстрованого місця проживання (перебування).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Підставою для надання послуги з адаптації за рахунок коштів місцевих бюджетів або отриманих з інших джерел, не заборонених законодавством, є рішення структурного підрозділу з питань ветеранської політики.</w:t>
      </w:r>
    </w:p>
    <w:p>
      <w:pPr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про надання/відмову в наданні послуги з адаптації за рахунок коштів місцевих бюджетів або отриманих з інших джерел, не заборонених законодавством, структурний підрозділ з питань ветеранської політики, приймає відповідно до порядку, затвердженого </w:t>
      </w:r>
      <w:r>
        <w:rPr>
          <w:rFonts w:ascii="Times New Roman" w:hAnsi="Times New Roman"/>
          <w:sz w:val="28"/>
          <w:szCs w:val="28"/>
        </w:rPr>
        <w:t>розпорядженням голови відповідної районної, районної у місті Києві та Севастополі державної адміністрації та міської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 (</w:t>
      </w:r>
      <w:r>
        <w:rPr>
          <w:rFonts w:ascii="Times New Roman" w:hAnsi="Times New Roman"/>
          <w:sz w:val="28"/>
          <w:szCs w:val="28"/>
        </w:rPr>
        <w:t>селищної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,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rFonts w:ascii="Times New Roman" w:hAnsi="Times New Roman"/>
          <w:sz w:val="28"/>
          <w:szCs w:val="28"/>
        </w:rPr>
        <w:t>сільської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)</w:t>
      </w:r>
      <w:r>
        <w:rPr>
          <w:rFonts w:ascii="Times New Roman" w:hAnsi="Times New Roman"/>
          <w:sz w:val="28"/>
          <w:szCs w:val="28"/>
        </w:rPr>
        <w:t xml:space="preserve"> територіальної громади.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Граничний розмір відшкодування за надані послуги з адаптації одній особі — отримувачу послуг з адаптації під час реалізації третього рівня визначається районними, районними в мм. Києві та Севастополі держадміністраціями, виконавчими органами сільських, селищних, міських рад відповідно до положень Бюджетного кодексу України, Законів України “Про місцеве самоврядування в Україні” та “Про місцеві державні адміністрації”, в межах бюджетних асигнувань, затверджених відповідними місцевими органами влади.</w:t>
      </w:r>
    </w:p>
    <w:p>
      <w:pPr>
        <w:shd w:val="clear" w:fill="FFFFFF"/>
        <w:spacing w:lineRule="auto" w:line="240" w:before="120" w:after="0" w:beforeAutospacing="0" w:afterAutospacing="0"/>
        <w:ind w:right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Моніторинг та оцінка якості </w:t>
        <w:br w:type="textWrapping"/>
        <w:t>надання послуг з адаптації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Моніторинг стану надання послуг з адаптації (далі — моніторинг) та оцінка якості надання послуг з адаптації (далі — оцінка) проводяться Мінветеранів з метою: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визначення відповідності наданих послуг з адаптації особам — отримувачам послуг з адаптації відповідно до цього Порядку;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надання особам — отримувачам послуг з адаптації якісних послуг з адаптації;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підвищення ефективності роботи з організації та надання послуг з адаптації;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планування подальшої роботи з розвитку системи надання послуг з адаптації.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Проведення моніторингу та оцінки сприяє: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координації діяльності суб’єктів надання послуг з адаптації;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отриманню інформації про діяльність суб’єктів надання послуг з адаптації, їх методи роботи, кількість та кваліфікацію залучених фахівців з адаптації.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Моніторинг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діяльності суб’єктів надання послуг з адаптації проводиться Мінветеранів із залученням структурних підрозділів з питань ветеранської політики.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Моніторинг передбачає збір та оброблення інформації про надання послуг з адаптації, проведення аналізу узагальненої інформації та планування роботи з розвитку системи надання послуг з адаптації.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 про надання послуг з адаптації складається із статистичних, адміністративних, оперативних даних про потреби осіб — отримувачів послуг з адаптації, про діяльність суб’єктів надання послуг з адаптації та їх кількість.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Збір даних моніторингу проводиться щокварталу, оперативних даних — у разі потреби.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Основними завданнями проведення моніторингу є: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визначення кількості осіб в адміністративно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-</w:t>
      </w:r>
      <w:r>
        <w:rPr>
          <w:rFonts w:ascii="Times New Roman" w:hAnsi="Times New Roman"/>
          <w:sz w:val="28"/>
          <w:szCs w:val="28"/>
        </w:rPr>
        <w:t>територіальній одиниці, які потребують послуг з адаптації;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визначення кількості суб’єктів надання послуг з адаптації та їх можливостей в частині забезпечення осіб — отримувачів послуг з адаптації відповідними послугами;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визначення рівня задоволення потреб осіб — отримувачів послуг з адаптації якісними послугами з адаптації;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підготовка звітів про надання послуг з адаптації;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планування роботи з розвитку системи надання послуг з адаптації;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розроблення пропозицій щодо формування державної політики у сфері надання послуг з адаптації.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Моніторинг та оцінка послуг з адаптації проводяться відповідно до порядку та критеріїв, затверджених Мінветеранів.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Інформація про результати моніторингу розміщується на офіційних вебсайтах структурних підрозділів з питань ветеранської політики та Мінветеранів не пізніше ніж протягом п’яти робочих днів після завершення проведення такого моніторингу.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Оцінка суб’єктів надання послуг з адаптації за результатами щоквартальних звітів проводиться Мінветеранів не рідше ніж один раз на рік із залученням (за згодою) провідних фахівців у сфері надання послуг з адаптації, представників органів виконавчої влади, органів місцевого самоврядування, структурних підрозділів з питань ветеранської політики та громадських об’єднань.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Оцінка проводиться шляхом вжиття комплексу заходів, спрямованих на встановлення рівня відповідності надання послуг з адаптації відповідно до цього Порядку.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Метою проведення оцінки є: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підвищення ефективності діяльності суб’єктів надання послуг з адаптації;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виявлення та визначення шляхів вирішення проблем, що перешкоджають розвитку надання послуг з адаптації;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виявлення та виправлення недоліків надання послуг з адаптації суб’єктом надання послуг з адаптації;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підвищення якості надання послуг з адаптації.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Оцінка може  не проводитись у разі введення на території України або адміністративно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-</w:t>
      </w:r>
      <w:r>
        <w:rPr>
          <w:rFonts w:ascii="Times New Roman" w:hAnsi="Times New Roman"/>
          <w:sz w:val="28"/>
          <w:szCs w:val="28"/>
        </w:rPr>
        <w:t>територіальної одиниці, де надавалися послуги з адаптації, надзвичайного або воєнного стану та протягом трьох місяців після його припинення чи скасування.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Методами оцінки є: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опитування/анкетування осіб — отримувачів послуг з адаптації та/або їх законних представників;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спостереження за процесом надання послуг з адаптації;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проведення аналізу результатів наданих послуг з адаптації;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проведення бесіди/співбесіди з персоналом суб’єкта надання послуг з адаптації;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вивчення документації суб’єкта надання послуг з адаптації, іншої документації, зокрема звернень осіб — отримувачів послуг з адаптації.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Оцінка якості послуг з адаптації проводиться Мінветеранів до </w:t>
        <w:br w:type="textWrapping"/>
        <w:t>31 грудня 2026 року.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tabs>
          <w:tab w:val="left" w:pos="993" w:leader="none"/>
        </w:tabs>
        <w:spacing w:lineRule="auto" w:line="240" w:before="120" w:after="0" w:beforeAutospacing="0" w:afterAutospacing="0"/>
        <w:ind w:firstLine="567" w:left="0" w:right="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Звіт за результатами оцінки, який повинен містити інформацію про досягнення та у разі потреби рекомендації для покращення якості наданих послуг з адаптації або покращення організації роботи суб’єкта надання послуг з адаптації, передається такому суб’єкту надання послуг з адаптації.</w:t>
      </w:r>
    </w:p>
    <w:p>
      <w:pPr>
        <w:shd w:val="clear" w:fill="FFFFFF"/>
        <w:spacing w:lineRule="auto" w:line="240" w:before="120" w:after="0" w:beforeAutospacing="0" w:afterAutospacing="0"/>
        <w:ind w:firstLine="567"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Зведений звіт про якість послуг з адаптації, що надаються суб’єктами надання послуг з адаптації, оприлюднюється щороку на офіційному вебсайті Мінветеранів.</w:t>
      </w:r>
    </w:p>
    <w:p>
      <w:pPr>
        <w:spacing w:lineRule="auto" w:line="240" w:after="0" w:beforeAutospacing="0" w:afterAutospacing="0"/>
        <w:ind w:firstLine="567" w:right="4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firstLine="567" w:right="4"/>
        <w:jc w:val="center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right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700" w:right="1134" w:top="1134" w:bottom="1134" w:header="510" w:footer="0" w:gutter="0"/>
      <w:pgNumType w:start="1" w:chapSep="period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536" w:leader="none"/>
        <w:tab w:val="center" w:pos="4819" w:leader="none"/>
        <w:tab w:val="left" w:pos="6096" w:leader="none"/>
        <w:tab w:val="right" w:pos="9639" w:leader="none"/>
      </w:tabs>
      <w:spacing w:lineRule="auto" w:line="240" w:after="0" w:beforeAutospacing="0" w:afterAutospacing="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color w:val="000000"/>
        <w:sz w:val="28"/>
        <w:szCs w:val="28"/>
      </w:rPr>
      <w:tab/>
    </w:r>
    <w:r>
      <w:rPr>
        <w:rFonts w:ascii="Times New Roman" w:hAnsi="Times New Roman"/>
        <w:color w:val="000000"/>
        <w:sz w:val="28"/>
        <w:szCs w:val="28"/>
      </w:rPr>
      <w:fldChar w:fldCharType="begin"/>
    </w:r>
    <w:r>
      <w:rPr>
        <w:rFonts w:ascii="Times New Roman" w:hAnsi="Times New Roman"/>
        <w:color w:val="000000"/>
        <w:sz w:val="28"/>
        <w:szCs w:val="28"/>
      </w:rPr>
      <w:instrText>PAGE</w:instrText>
    </w:r>
    <w:r>
      <w:rPr>
        <w:rFonts w:ascii="Times New Roman" w:hAnsi="Times New Roman"/>
        <w:color w:val="000000"/>
        <w:sz w:val="28"/>
        <w:szCs w:val="28"/>
      </w:rPr>
      <w:fldChar w:fldCharType="separate"/>
    </w:r>
    <w:r>
      <w:rPr>
        <w:rFonts w:ascii="Times New Roman" w:hAnsi="Times New Roman"/>
        <w:color w:val="000000"/>
        <w:sz w:val="28"/>
        <w:szCs w:val="28"/>
      </w:rPr>
      <w:t>#</w:t>
    </w:r>
    <w:r>
      <w:rPr>
        <w:rFonts w:ascii="Times New Roman" w:hAnsi="Times New Roman"/>
        <w:color w:val="000000"/>
        <w:sz w:val="28"/>
        <w:szCs w:val="28"/>
      </w:rPr>
      <w:fldChar w:fldCharType="end"/>
    </w:r>
    <w:r>
      <w:rPr>
        <w:rFonts w:ascii="Times New Roman" w:hAnsi="Times New Roman"/>
        <w:color w:val="000000"/>
        <w:sz w:val="28"/>
        <w:szCs w:val="28"/>
      </w:rPr>
      <w:tab/>
      <w:tab/>
    </w:r>
  </w:p>
</w:hdr>
</file>

<file path=word/numbering.xml><?xml version="1.0" encoding="utf-8"?>
<w:numbering xmlns:w="http://schemas.openxmlformats.org/wordprocessingml/2006/main">
  <w:abstractNum w:abstractNumId="0">
    <w:nsid w:val="20690BD1"/>
    <w:multiLevelType w:val="multilevel"/>
    <w:lvl w:ilvl="0">
      <w:start w:val="1"/>
      <w:numFmt w:val="decimal"/>
      <w:suff w:val="tab"/>
      <w:lvlText w:val="%1."/>
      <w:lvlJc w:val="left"/>
      <w:pPr>
        <w:ind w:hanging="360" w:left="1495"/>
      </w:pPr>
      <w:rPr>
        <w:color w:val="000000"/>
        <w:sz w:val="28"/>
        <w:szCs w:val="28"/>
      </w:rPr>
    </w:lvl>
    <w:lvl w:ilvl="1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>
      <w:start w:val="1"/>
      <w:numFmt w:val="decimal"/>
      <w:suff w:val="tab"/>
      <w:lvlText w:val="%4."/>
      <w:lvlJc w:val="left"/>
      <w:pPr>
        <w:ind w:hanging="360" w:left="3087"/>
      </w:pPr>
      <w:rPr/>
    </w:lvl>
    <w:lvl w:ilvl="4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>
      <w:start w:val="1"/>
      <w:numFmt w:val="decimal"/>
      <w:suff w:val="tab"/>
      <w:lvlText w:val="%7."/>
      <w:lvlJc w:val="left"/>
      <w:pPr>
        <w:ind w:hanging="360" w:left="5247"/>
      </w:pPr>
      <w:rPr/>
    </w:lvl>
    <w:lvl w:ilvl="7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1">
    <w:nsid w:val="2F29057E"/>
    <w:multiLevelType w:val="multilevel"/>
    <w:lvl w:ilvl="0">
      <w:start w:val="1"/>
      <w:numFmt w:val="decimal"/>
      <w:suff w:val="tab"/>
      <w:lvlText w:val="%1)"/>
      <w:lvlJc w:val="left"/>
      <w:pPr>
        <w:ind w:hanging="360" w:left="720"/>
      </w:pPr>
      <w:rPr>
        <w:u w:val="none"/>
      </w:rPr>
    </w:lvl>
    <w:lvl w:ilvl="1">
      <w:start w:val="1"/>
      <w:numFmt w:val="lowerLetter"/>
      <w:suff w:val="tab"/>
      <w:lvlText w:val="%2)"/>
      <w:lvlJc w:val="left"/>
      <w:pPr>
        <w:ind w:hanging="360" w:left="1440"/>
      </w:pPr>
      <w:rPr>
        <w:u w:val="none"/>
      </w:rPr>
    </w:lvl>
    <w:lvl w:ilvl="2">
      <w:start w:val="1"/>
      <w:numFmt w:val="lowerRoman"/>
      <w:suff w:val="tab"/>
      <w:lvlText w:val="%3)"/>
      <w:lvlJc w:val="right"/>
      <w:pPr>
        <w:ind w:hanging="360" w:left="2160"/>
      </w:pPr>
      <w:rPr>
        <w:u w:val="none"/>
      </w:rPr>
    </w:lvl>
    <w:lvl w:ilvl="3">
      <w:start w:val="1"/>
      <w:numFmt w:val="decimal"/>
      <w:suff w:val="tab"/>
      <w:lvlText w:val="(%4)"/>
      <w:lvlJc w:val="left"/>
      <w:pPr>
        <w:ind w:hanging="360" w:left="2880"/>
      </w:pPr>
      <w:rPr>
        <w:u w:val="none"/>
      </w:rPr>
    </w:lvl>
    <w:lvl w:ilvl="4">
      <w:start w:val="1"/>
      <w:numFmt w:val="lowerLetter"/>
      <w:suff w:val="tab"/>
      <w:lvlText w:val="(%5)"/>
      <w:lvlJc w:val="left"/>
      <w:pPr>
        <w:ind w:hanging="360" w:left="3600"/>
      </w:pPr>
      <w:rPr>
        <w:u w:val="none"/>
      </w:rPr>
    </w:lvl>
    <w:lvl w:ilvl="5">
      <w:start w:val="1"/>
      <w:numFmt w:val="lowerRoman"/>
      <w:suff w:val="tab"/>
      <w:lvlText w:val="(%6)"/>
      <w:lvlJc w:val="right"/>
      <w:pPr>
        <w:ind w:hanging="360" w:left="4320"/>
      </w:pPr>
      <w:rPr>
        <w:u w:val="no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  <w:outlineLvl w:val="0"/>
    </w:pPr>
    <w:rPr>
      <w:b w:val="1"/>
      <w:sz w:val="48"/>
      <w:szCs w:val="48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semiHidden/>
    <w:qFormat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List Paragraph"/>
    <w:qFormat/>
    <w:pPr>
      <w:ind w:left="720"/>
      <w:contextualSpacing w:val="1"/>
    </w:pPr>
    <w:rPr/>
  </w:style>
  <w:style w:type="paragraph" w:styleId="P9">
    <w:name w:val="Normal (Web)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10">
    <w:name w:val="header"/>
    <w:link w:val="C7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11">
    <w:name w:val="footer"/>
    <w:link w:val="C8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12">
    <w:name w:val="Subtitle"/>
    <w:basedOn w:val="P0"/>
    <w:next w:val="P0"/>
    <w:qFormat/>
    <w:pPr>
      <w:keepNext w:val="1"/>
      <w:keepLines w:val="1"/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paragraph" w:styleId="P13">
    <w:name w:val="rvps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/>
    </w:rPr>
  </w:style>
  <w:style w:type="paragraph" w:styleId="P14">
    <w:name w:val="footnote text"/>
    <w:link w:val="C10"/>
    <w:semiHidden/>
    <w:pPr>
      <w:spacing w:lineRule="auto" w:line="240" w:after="0"/>
    </w:pPr>
    <w:rPr>
      <w:sz w:val="20"/>
      <w:szCs w:val="20"/>
    </w:rPr>
  </w:style>
  <w:style w:type="paragraph" w:styleId="P15">
    <w:name w:val="endnote text"/>
    <w:link w:val="C12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apple-converted-space"/>
    <w:basedOn w:val="C0"/>
    <w:rPr/>
  </w:style>
  <w:style w:type="character" w:styleId="C4">
    <w:name w:val="Emphasis"/>
    <w:basedOn w:val="C0"/>
    <w:qFormat/>
    <w:rPr>
      <w:i w:val="1"/>
      <w:iCs w:val="1"/>
    </w:rPr>
  </w:style>
  <w:style w:type="character" w:styleId="C5">
    <w:name w:val="Заголовок 1 Знак"/>
    <w:basedOn w:val="C0"/>
    <w:rPr>
      <w:b w:val="1"/>
      <w:sz w:val="48"/>
      <w:szCs w:val="48"/>
    </w:rPr>
  </w:style>
  <w:style w:type="character" w:styleId="C6">
    <w:name w:val="apple-tab-span"/>
    <w:basedOn w:val="C0"/>
    <w:rPr/>
  </w:style>
  <w:style w:type="character" w:styleId="C7">
    <w:name w:val="Верхній колонтитул Знак"/>
    <w:basedOn w:val="C0"/>
    <w:link w:val="P10"/>
    <w:rPr/>
  </w:style>
  <w:style w:type="character" w:styleId="C8">
    <w:name w:val="Нижній колонтитул Знак"/>
    <w:basedOn w:val="C0"/>
    <w:link w:val="P11"/>
    <w:rPr/>
  </w:style>
  <w:style w:type="character" w:styleId="C9">
    <w:name w:val="footnote reference"/>
    <w:semiHidden/>
    <w:rPr>
      <w:vertAlign w:val="superscript"/>
    </w:rPr>
  </w:style>
  <w:style w:type="character" w:styleId="C10">
    <w:name w:val="Footnote Text Char"/>
    <w:link w:val="P14"/>
    <w:semiHidden/>
    <w:rPr>
      <w:sz w:val="20"/>
      <w:szCs w:val="20"/>
    </w:rPr>
  </w:style>
  <w:style w:type="character" w:styleId="C11">
    <w:name w:val="endnote reference"/>
    <w:semiHidden/>
    <w:rPr>
      <w:vertAlign w:val="superscript"/>
    </w:rPr>
  </w:style>
  <w:style w:type="character" w:styleId="C12">
    <w:name w:val="Endnote Text Char"/>
    <w:link w:val="P15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s://zakon.rada.gov.ua/laws/show/881-2024-%D0%BF" TargetMode="External" /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xjAMUdnLebr3UgemUbov96GezQ==">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2025-01-27T13:07:00Z</dcterms:created>
  <cp:lastModifiedBy>pool-iis</cp:lastModifiedBy>
  <dcterms:modified xsi:type="dcterms:W3CDTF">2025-08-05T14:08:17Z</dcterms:modified>
  <cp:revision>7</cp:revision>
</cp:coreProperties>
</file>