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3B4E" w14:textId="50365ACC" w:rsidR="009B4D5A" w:rsidRPr="009B4D5A" w:rsidRDefault="009B4D5A" w:rsidP="00E310F9">
      <w:pPr>
        <w:spacing w:after="0" w:line="240" w:lineRule="auto"/>
        <w:ind w:left="4111" w:right="-1"/>
        <w:jc w:val="center"/>
        <w:rPr>
          <w:rFonts w:ascii="Times New Roman" w:eastAsia="Times New Roman" w:hAnsi="Times New Roman" w:cs="Times New Roman"/>
          <w:sz w:val="24"/>
          <w:szCs w:val="24"/>
        </w:rPr>
      </w:pPr>
      <w:r w:rsidRPr="009B4D5A">
        <w:rPr>
          <w:rFonts w:ascii="Times New Roman" w:eastAsia="Times New Roman" w:hAnsi="Times New Roman" w:cs="Times New Roman"/>
          <w:color w:val="000000"/>
          <w:sz w:val="28"/>
          <w:szCs w:val="28"/>
        </w:rPr>
        <w:t>ЗАТВЕРДЖЕНО</w:t>
      </w:r>
    </w:p>
    <w:p w14:paraId="6E3A24B5" w14:textId="504631FE" w:rsidR="009B4D5A" w:rsidRPr="009B4D5A" w:rsidRDefault="009B4D5A" w:rsidP="00E310F9">
      <w:pPr>
        <w:spacing w:after="0" w:line="240" w:lineRule="auto"/>
        <w:ind w:left="4111" w:right="-1"/>
        <w:jc w:val="center"/>
        <w:rPr>
          <w:rFonts w:ascii="Times New Roman" w:eastAsia="Times New Roman" w:hAnsi="Times New Roman" w:cs="Times New Roman"/>
          <w:sz w:val="24"/>
          <w:szCs w:val="24"/>
        </w:rPr>
      </w:pPr>
      <w:r w:rsidRPr="009B4D5A">
        <w:rPr>
          <w:rFonts w:ascii="Times New Roman" w:eastAsia="Times New Roman" w:hAnsi="Times New Roman" w:cs="Times New Roman"/>
          <w:color w:val="000000"/>
          <w:sz w:val="28"/>
          <w:szCs w:val="28"/>
        </w:rPr>
        <w:t>постановою Кабінету Міністрів України</w:t>
      </w:r>
    </w:p>
    <w:p w14:paraId="479F19E2" w14:textId="2FF8B265" w:rsidR="009B4D5A" w:rsidRPr="009B4D5A" w:rsidRDefault="009B4D5A" w:rsidP="00E310F9">
      <w:pPr>
        <w:spacing w:after="0" w:line="240" w:lineRule="auto"/>
        <w:ind w:left="4111" w:right="-1"/>
        <w:jc w:val="center"/>
        <w:rPr>
          <w:rFonts w:ascii="Times New Roman" w:eastAsia="Times New Roman" w:hAnsi="Times New Roman" w:cs="Times New Roman"/>
          <w:sz w:val="24"/>
          <w:szCs w:val="24"/>
        </w:rPr>
      </w:pPr>
      <w:r w:rsidRPr="009B4D5A">
        <w:rPr>
          <w:rFonts w:ascii="Times New Roman" w:eastAsia="Times New Roman" w:hAnsi="Times New Roman" w:cs="Times New Roman"/>
          <w:color w:val="000000"/>
          <w:sz w:val="28"/>
          <w:szCs w:val="28"/>
        </w:rPr>
        <w:t>від                      2025 р. №</w:t>
      </w:r>
    </w:p>
    <w:p w14:paraId="3DB0BCC2" w14:textId="77777777" w:rsidR="009B4D5A" w:rsidRPr="009B4D5A" w:rsidRDefault="009B4D5A" w:rsidP="009B4D5A">
      <w:pPr>
        <w:shd w:val="clear" w:color="auto" w:fill="FFFFFF"/>
        <w:spacing w:after="0" w:line="240" w:lineRule="auto"/>
        <w:ind w:right="724"/>
        <w:jc w:val="center"/>
        <w:rPr>
          <w:rFonts w:ascii="Times New Roman" w:eastAsia="Times New Roman" w:hAnsi="Times New Roman" w:cs="Times New Roman"/>
          <w:sz w:val="24"/>
          <w:szCs w:val="24"/>
        </w:rPr>
      </w:pPr>
    </w:p>
    <w:p w14:paraId="5D7CC817" w14:textId="77777777" w:rsidR="009B4D5A" w:rsidRPr="009B4D5A" w:rsidRDefault="009B4D5A" w:rsidP="009B4D5A">
      <w:pPr>
        <w:shd w:val="clear" w:color="auto" w:fill="FFFFFF"/>
        <w:spacing w:after="0" w:line="240" w:lineRule="auto"/>
        <w:ind w:right="724" w:firstLine="567"/>
        <w:jc w:val="center"/>
        <w:rPr>
          <w:rFonts w:ascii="Times New Roman" w:eastAsia="Times New Roman" w:hAnsi="Times New Roman" w:cs="Times New Roman"/>
          <w:sz w:val="24"/>
          <w:szCs w:val="24"/>
        </w:rPr>
      </w:pPr>
    </w:p>
    <w:p w14:paraId="07C98BBB" w14:textId="533CD454" w:rsidR="00C82AD7" w:rsidRPr="00957B1D" w:rsidRDefault="00C82AD7" w:rsidP="00C82AD7">
      <w:pPr>
        <w:shd w:val="clear" w:color="auto" w:fill="FFFFFF"/>
        <w:spacing w:before="240" w:after="240" w:line="240" w:lineRule="auto"/>
        <w:jc w:val="center"/>
        <w:rPr>
          <w:rFonts w:ascii="Times New Roman" w:hAnsi="Times New Roman"/>
          <w:sz w:val="24"/>
          <w:szCs w:val="24"/>
        </w:rPr>
      </w:pPr>
      <w:r w:rsidRPr="00957B1D">
        <w:rPr>
          <w:rFonts w:ascii="Times New Roman" w:hAnsi="Times New Roman"/>
          <w:sz w:val="28"/>
          <w:szCs w:val="28"/>
        </w:rPr>
        <w:t xml:space="preserve">ПОРЯДОК </w:t>
      </w:r>
      <w:r w:rsidRPr="00957B1D">
        <w:rPr>
          <w:rFonts w:ascii="Times New Roman" w:hAnsi="Times New Roman"/>
          <w:sz w:val="28"/>
          <w:szCs w:val="28"/>
        </w:rPr>
        <w:br/>
        <w:t xml:space="preserve">реалізації експериментального </w:t>
      </w:r>
      <w:r w:rsidR="00DF33FE">
        <w:rPr>
          <w:rFonts w:ascii="Times New Roman" w:hAnsi="Times New Roman"/>
          <w:sz w:val="28"/>
          <w:szCs w:val="28"/>
        </w:rPr>
        <w:t>проекту</w:t>
      </w:r>
      <w:r w:rsidRPr="00957B1D">
        <w:rPr>
          <w:rFonts w:ascii="Times New Roman" w:hAnsi="Times New Roman"/>
          <w:sz w:val="28"/>
          <w:szCs w:val="28"/>
        </w:rPr>
        <w:t xml:space="preserve"> щодо адаптації осіб, </w:t>
      </w:r>
      <w:r w:rsidRPr="00957B1D">
        <w:rPr>
          <w:rFonts w:ascii="Times New Roman" w:hAnsi="Times New Roman"/>
          <w:sz w:val="28"/>
          <w:szCs w:val="28"/>
        </w:rPr>
        <w:br/>
        <w:t xml:space="preserve">які повністю або частково втратили зір, з числа військовослужбовців, </w:t>
      </w:r>
      <w:r w:rsidRPr="00957B1D">
        <w:rPr>
          <w:rFonts w:ascii="Times New Roman" w:hAnsi="Times New Roman"/>
          <w:sz w:val="28"/>
          <w:szCs w:val="28"/>
        </w:rPr>
        <w:br/>
        <w:t xml:space="preserve">осіб, які звільнені з військової служби, ветеранів війни та осіб, </w:t>
      </w:r>
      <w:r w:rsidRPr="00957B1D">
        <w:rPr>
          <w:rFonts w:ascii="Times New Roman" w:hAnsi="Times New Roman"/>
          <w:sz w:val="28"/>
          <w:szCs w:val="28"/>
        </w:rPr>
        <w:br/>
        <w:t>які мають особливі заслуги перед Батьківщиною</w:t>
      </w:r>
    </w:p>
    <w:p w14:paraId="5A0233C3" w14:textId="77777777" w:rsidR="00C82AD7" w:rsidRPr="00957B1D" w:rsidRDefault="00C82AD7" w:rsidP="00C82AD7">
      <w:pPr>
        <w:shd w:val="clear" w:color="auto" w:fill="FFFFFF"/>
        <w:spacing w:before="120" w:after="0" w:line="240" w:lineRule="auto"/>
        <w:jc w:val="center"/>
        <w:rPr>
          <w:rFonts w:ascii="Times New Roman" w:hAnsi="Times New Roman"/>
          <w:sz w:val="28"/>
          <w:szCs w:val="28"/>
        </w:rPr>
      </w:pPr>
      <w:r w:rsidRPr="00957B1D">
        <w:rPr>
          <w:rFonts w:ascii="Times New Roman" w:hAnsi="Times New Roman"/>
          <w:sz w:val="28"/>
          <w:szCs w:val="28"/>
        </w:rPr>
        <w:t>Загальні положення</w:t>
      </w:r>
    </w:p>
    <w:p w14:paraId="2188ADD6" w14:textId="28C5DE2A" w:rsidR="00C82AD7" w:rsidRPr="00957B1D" w:rsidRDefault="00C82AD7" w:rsidP="00C82AD7">
      <w:pPr>
        <w:pStyle w:val="a5"/>
        <w:numPr>
          <w:ilvl w:val="0"/>
          <w:numId w:val="5"/>
        </w:numPr>
        <w:shd w:val="clear" w:color="auto" w:fill="FFFFFF"/>
        <w:tabs>
          <w:tab w:val="left" w:pos="851"/>
        </w:tabs>
        <w:spacing w:before="120" w:after="0" w:line="240" w:lineRule="auto"/>
        <w:ind w:left="0" w:firstLine="567"/>
        <w:jc w:val="both"/>
        <w:rPr>
          <w:rFonts w:ascii="Times New Roman" w:hAnsi="Times New Roman"/>
          <w:sz w:val="24"/>
          <w:szCs w:val="24"/>
        </w:rPr>
      </w:pPr>
      <w:r w:rsidRPr="00957B1D">
        <w:rPr>
          <w:rFonts w:ascii="Times New Roman" w:hAnsi="Times New Roman"/>
          <w:sz w:val="28"/>
          <w:szCs w:val="28"/>
        </w:rPr>
        <w:t xml:space="preserve">Цей Порядок визначає механізм реалізації експериментального </w:t>
      </w:r>
      <w:r w:rsidR="00DF33FE">
        <w:rPr>
          <w:rFonts w:ascii="Times New Roman" w:hAnsi="Times New Roman"/>
          <w:sz w:val="28"/>
          <w:szCs w:val="28"/>
        </w:rPr>
        <w:t>проекту</w:t>
      </w:r>
      <w:r w:rsidRPr="00957B1D">
        <w:rPr>
          <w:rFonts w:ascii="Times New Roman" w:hAnsi="Times New Roman"/>
          <w:sz w:val="28"/>
          <w:szCs w:val="28"/>
        </w:rPr>
        <w:t xml:space="preserve">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 (далі </w:t>
      </w:r>
      <w:r w:rsidR="00E219E3">
        <w:rPr>
          <w:rFonts w:ascii="Times New Roman" w:hAnsi="Times New Roman"/>
          <w:sz w:val="28"/>
          <w:szCs w:val="28"/>
        </w:rPr>
        <w:t>—</w:t>
      </w:r>
      <w:r w:rsidR="00281F0E">
        <w:rPr>
          <w:rFonts w:ascii="Times New Roman" w:hAnsi="Times New Roman"/>
          <w:sz w:val="28"/>
          <w:szCs w:val="28"/>
        </w:rPr>
        <w:t xml:space="preserve"> </w:t>
      </w:r>
      <w:r w:rsidRPr="00957B1D">
        <w:rPr>
          <w:rFonts w:ascii="Times New Roman" w:hAnsi="Times New Roman"/>
          <w:sz w:val="28"/>
          <w:szCs w:val="28"/>
        </w:rPr>
        <w:t xml:space="preserve">експериментальний </w:t>
      </w:r>
      <w:r w:rsidR="00DF33FE">
        <w:rPr>
          <w:rFonts w:ascii="Times New Roman" w:hAnsi="Times New Roman"/>
          <w:sz w:val="28"/>
          <w:szCs w:val="28"/>
        </w:rPr>
        <w:t>проект</w:t>
      </w:r>
      <w:r w:rsidRPr="00957B1D">
        <w:rPr>
          <w:rFonts w:ascii="Times New Roman" w:hAnsi="Times New Roman"/>
          <w:sz w:val="28"/>
          <w:szCs w:val="28"/>
        </w:rPr>
        <w:t>).</w:t>
      </w:r>
    </w:p>
    <w:p w14:paraId="1381B719" w14:textId="77777777" w:rsidR="00C82AD7" w:rsidRPr="00957B1D" w:rsidRDefault="00C82AD7" w:rsidP="00C82AD7">
      <w:pPr>
        <w:pStyle w:val="a5"/>
        <w:numPr>
          <w:ilvl w:val="0"/>
          <w:numId w:val="5"/>
        </w:numPr>
        <w:shd w:val="clear" w:color="auto" w:fill="FFFFFF"/>
        <w:tabs>
          <w:tab w:val="left" w:pos="851"/>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Терміни, що вживаються у цьому Порядку, мають таке значення:</w:t>
      </w:r>
    </w:p>
    <w:p w14:paraId="7259F114" w14:textId="34AED794"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замовник послуг з адаптації </w:t>
      </w:r>
      <w:r w:rsidR="00E219E3">
        <w:rPr>
          <w:rFonts w:ascii="Times New Roman" w:hAnsi="Times New Roman"/>
          <w:sz w:val="28"/>
          <w:szCs w:val="28"/>
        </w:rPr>
        <w:t>—</w:t>
      </w:r>
      <w:r w:rsidRPr="00957B1D">
        <w:rPr>
          <w:rFonts w:ascii="Times New Roman" w:hAnsi="Times New Roman"/>
          <w:sz w:val="28"/>
          <w:szCs w:val="28"/>
        </w:rPr>
        <w:t xml:space="preserve"> центральний або місцевий орган виконавчої влади, орган місцевого самоврядування, державна установа, що здійснює залучення на договірній основі суб’єктів надання послуг з адаптації для задоволення потреб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у відповідній адаптації;</w:t>
      </w:r>
    </w:p>
    <w:p w14:paraId="7F82728A" w14:textId="3351940F"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кейс-менеджер із надання послуг з адаптації </w:t>
      </w:r>
      <w:r w:rsidR="00E219E3">
        <w:rPr>
          <w:rFonts w:ascii="Times New Roman" w:hAnsi="Times New Roman"/>
          <w:sz w:val="28"/>
          <w:szCs w:val="28"/>
        </w:rPr>
        <w:t>—</w:t>
      </w:r>
      <w:r w:rsidRPr="00957B1D">
        <w:rPr>
          <w:rFonts w:ascii="Times New Roman" w:hAnsi="Times New Roman"/>
          <w:sz w:val="28"/>
          <w:szCs w:val="28"/>
        </w:rPr>
        <w:t xml:space="preserve"> член </w:t>
      </w:r>
      <w:proofErr w:type="spellStart"/>
      <w:r w:rsidRPr="00957B1D">
        <w:rPr>
          <w:rFonts w:ascii="Times New Roman" w:hAnsi="Times New Roman"/>
          <w:sz w:val="28"/>
          <w:szCs w:val="28"/>
        </w:rPr>
        <w:t>мультидисциплінарної</w:t>
      </w:r>
      <w:proofErr w:type="spellEnd"/>
      <w:r w:rsidRPr="00957B1D">
        <w:rPr>
          <w:rFonts w:ascii="Times New Roman" w:hAnsi="Times New Roman"/>
          <w:sz w:val="28"/>
          <w:szCs w:val="28"/>
        </w:rPr>
        <w:t xml:space="preserve"> команди з адаптації, відповідальний за координацію дій такої команди щодо надання особі </w:t>
      </w:r>
      <w:r w:rsidR="00E219E3">
        <w:rPr>
          <w:rFonts w:ascii="Times New Roman" w:hAnsi="Times New Roman"/>
          <w:sz w:val="28"/>
          <w:szCs w:val="28"/>
        </w:rPr>
        <w:t>—</w:t>
      </w:r>
      <w:r w:rsidRPr="00957B1D">
        <w:rPr>
          <w:rFonts w:ascii="Times New Roman" w:hAnsi="Times New Roman"/>
          <w:sz w:val="28"/>
          <w:szCs w:val="28"/>
        </w:rPr>
        <w:t xml:space="preserve"> отримувачу послуг з адаптації у повному обсязі послуг з адаптації відповідно до його індивідуальних потреб, зокрема за визначення цілей та планування заходів для їх досягнення, проведення оцінки результатів надання послуг з адаптації;</w:t>
      </w:r>
    </w:p>
    <w:p w14:paraId="4A711616" w14:textId="3C39F7E4"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кейс-менеджмент (“ведення випадку”) </w:t>
      </w:r>
      <w:r w:rsidR="00E219E3">
        <w:rPr>
          <w:rFonts w:ascii="Times New Roman" w:hAnsi="Times New Roman"/>
          <w:sz w:val="28"/>
          <w:szCs w:val="28"/>
        </w:rPr>
        <w:t>—</w:t>
      </w:r>
      <w:r w:rsidRPr="00957B1D">
        <w:rPr>
          <w:rFonts w:ascii="Times New Roman" w:hAnsi="Times New Roman"/>
          <w:sz w:val="28"/>
          <w:szCs w:val="28"/>
        </w:rPr>
        <w:t xml:space="preserve"> метод організації надання послуг з адаптації, який передбачає проведення оцінки ситуації та визначення потреб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визначення цілей та планування заходів для їх досягнення, проведення моніторингу та оцінки результатів надання послуг з адаптації;</w:t>
      </w:r>
    </w:p>
    <w:p w14:paraId="6F6930DE" w14:textId="5035BCE2"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proofErr w:type="spellStart"/>
      <w:r w:rsidRPr="00957B1D">
        <w:rPr>
          <w:rFonts w:ascii="Times New Roman" w:hAnsi="Times New Roman"/>
          <w:sz w:val="28"/>
          <w:szCs w:val="28"/>
        </w:rPr>
        <w:t>мультидисциплінарна</w:t>
      </w:r>
      <w:proofErr w:type="spellEnd"/>
      <w:r w:rsidRPr="00957B1D">
        <w:rPr>
          <w:rFonts w:ascii="Times New Roman" w:hAnsi="Times New Roman"/>
          <w:sz w:val="28"/>
          <w:szCs w:val="28"/>
        </w:rPr>
        <w:t xml:space="preserve"> команда з адаптації </w:t>
      </w:r>
      <w:r w:rsidR="00E219E3">
        <w:rPr>
          <w:rFonts w:ascii="Times New Roman" w:hAnsi="Times New Roman"/>
          <w:sz w:val="28"/>
          <w:szCs w:val="28"/>
        </w:rPr>
        <w:t>—</w:t>
      </w:r>
      <w:r w:rsidRPr="00957B1D">
        <w:rPr>
          <w:rFonts w:ascii="Times New Roman" w:hAnsi="Times New Roman"/>
          <w:sz w:val="28"/>
          <w:szCs w:val="28"/>
        </w:rPr>
        <w:t xml:space="preserve"> функціонально виокремлена група фахівців суб’єкта надання послуг з адаптації, які об’єднані спільними метою та завданнями щодо надання послуг з адаптації;</w:t>
      </w:r>
    </w:p>
    <w:p w14:paraId="31849D8D" w14:textId="480EF551"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особа </w:t>
      </w:r>
      <w:r w:rsidR="00E219E3">
        <w:rPr>
          <w:rFonts w:ascii="Times New Roman" w:hAnsi="Times New Roman"/>
          <w:sz w:val="28"/>
          <w:szCs w:val="28"/>
        </w:rPr>
        <w:t>—</w:t>
      </w:r>
      <w:r w:rsidRPr="00957B1D">
        <w:rPr>
          <w:rFonts w:ascii="Times New Roman" w:hAnsi="Times New Roman"/>
          <w:sz w:val="28"/>
          <w:szCs w:val="28"/>
        </w:rPr>
        <w:t xml:space="preserve"> отримувач послуг з адаптації </w:t>
      </w:r>
      <w:r w:rsidR="00E219E3">
        <w:rPr>
          <w:rFonts w:ascii="Times New Roman" w:hAnsi="Times New Roman"/>
          <w:sz w:val="28"/>
          <w:szCs w:val="28"/>
        </w:rPr>
        <w:t>—</w:t>
      </w:r>
      <w:r w:rsidRPr="00957B1D">
        <w:rPr>
          <w:rFonts w:ascii="Times New Roman" w:hAnsi="Times New Roman"/>
          <w:sz w:val="28"/>
          <w:szCs w:val="28"/>
        </w:rPr>
        <w:t xml:space="preserve"> особа, яка повністю або частково втратила зір, з числа військовослужбовців, осіб, які звільнені з військової служби, ветеранів війни та осіб, які мають особливі заслуги перед Батьківщиною;</w:t>
      </w:r>
    </w:p>
    <w:p w14:paraId="479CE916" w14:textId="1A83E34C"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lastRenderedPageBreak/>
        <w:t xml:space="preserve">послуги з адаптації </w:t>
      </w:r>
      <w:r w:rsidR="00E219E3">
        <w:rPr>
          <w:rFonts w:ascii="Times New Roman" w:hAnsi="Times New Roman"/>
          <w:sz w:val="28"/>
          <w:szCs w:val="28"/>
        </w:rPr>
        <w:t>—</w:t>
      </w:r>
      <w:r w:rsidRPr="00957B1D">
        <w:rPr>
          <w:rFonts w:ascii="Times New Roman" w:hAnsi="Times New Roman"/>
          <w:sz w:val="28"/>
          <w:szCs w:val="28"/>
        </w:rPr>
        <w:t xml:space="preserve"> система послуг, які можуть бути частиною соціальних і освітніх послуг або окремими послугами, та які надаються суб’єктами надання послуг з адаптації особі </w:t>
      </w:r>
      <w:r w:rsidR="00E219E3">
        <w:rPr>
          <w:rFonts w:ascii="Times New Roman" w:hAnsi="Times New Roman"/>
          <w:sz w:val="28"/>
          <w:szCs w:val="28"/>
        </w:rPr>
        <w:t>—</w:t>
      </w:r>
      <w:r w:rsidRPr="00957B1D">
        <w:rPr>
          <w:rFonts w:ascii="Times New Roman" w:hAnsi="Times New Roman"/>
          <w:sz w:val="28"/>
          <w:szCs w:val="28"/>
        </w:rPr>
        <w:t xml:space="preserve"> отримувачу послуг з адаптації, та оплачуються замовником послуг з адаптації відповідно до цього Порядку;</w:t>
      </w:r>
    </w:p>
    <w:p w14:paraId="69A6DA0A" w14:textId="76ABFD6A"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суб’єкти надання послуг з адаптації </w:t>
      </w:r>
      <w:r w:rsidR="00E219E3">
        <w:rPr>
          <w:rFonts w:ascii="Times New Roman" w:hAnsi="Times New Roman"/>
          <w:sz w:val="28"/>
          <w:szCs w:val="28"/>
        </w:rPr>
        <w:t>—</w:t>
      </w:r>
      <w:r w:rsidRPr="00957B1D">
        <w:rPr>
          <w:rFonts w:ascii="Times New Roman" w:hAnsi="Times New Roman"/>
          <w:sz w:val="28"/>
          <w:szCs w:val="28"/>
        </w:rPr>
        <w:t xml:space="preserve"> юридичні особи незалежно від форми власності та організаційно-правової форми, фізичні особи </w:t>
      </w:r>
      <w:r w:rsidR="00E219E3">
        <w:rPr>
          <w:rFonts w:ascii="Times New Roman" w:hAnsi="Times New Roman"/>
          <w:sz w:val="28"/>
          <w:szCs w:val="28"/>
        </w:rPr>
        <w:t>—</w:t>
      </w:r>
      <w:r w:rsidRPr="00957B1D">
        <w:rPr>
          <w:rFonts w:ascii="Times New Roman" w:hAnsi="Times New Roman"/>
          <w:sz w:val="28"/>
          <w:szCs w:val="28"/>
        </w:rPr>
        <w:t xml:space="preserve"> підприємці, з якими перебувають у трудових відносинах фахівці, або фізичні особи </w:t>
      </w:r>
      <w:r w:rsidR="00E219E3">
        <w:rPr>
          <w:rFonts w:ascii="Times New Roman" w:hAnsi="Times New Roman"/>
          <w:sz w:val="28"/>
          <w:szCs w:val="28"/>
        </w:rPr>
        <w:t>—</w:t>
      </w:r>
      <w:r w:rsidRPr="00957B1D">
        <w:rPr>
          <w:rFonts w:ascii="Times New Roman" w:hAnsi="Times New Roman"/>
          <w:sz w:val="28"/>
          <w:szCs w:val="28"/>
        </w:rPr>
        <w:t xml:space="preserve"> підприємці, які відповідають вимогам до фахівця;</w:t>
      </w:r>
    </w:p>
    <w:p w14:paraId="4107A4CC" w14:textId="1B96EB83"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фахівець з надання послуг з адаптації (далі </w:t>
      </w:r>
      <w:r w:rsidR="00E219E3">
        <w:rPr>
          <w:rFonts w:ascii="Times New Roman" w:hAnsi="Times New Roman"/>
          <w:sz w:val="28"/>
          <w:szCs w:val="28"/>
        </w:rPr>
        <w:t>—</w:t>
      </w:r>
      <w:r w:rsidRPr="00957B1D">
        <w:rPr>
          <w:rFonts w:ascii="Times New Roman" w:hAnsi="Times New Roman"/>
          <w:sz w:val="28"/>
          <w:szCs w:val="28"/>
        </w:rPr>
        <w:t xml:space="preserve"> фахівець) </w:t>
      </w:r>
      <w:r w:rsidR="00E219E3">
        <w:rPr>
          <w:rFonts w:ascii="Times New Roman" w:hAnsi="Times New Roman"/>
          <w:sz w:val="28"/>
          <w:szCs w:val="28"/>
        </w:rPr>
        <w:t>—</w:t>
      </w:r>
      <w:r w:rsidRPr="00957B1D">
        <w:rPr>
          <w:rFonts w:ascii="Times New Roman" w:hAnsi="Times New Roman"/>
          <w:sz w:val="28"/>
          <w:szCs w:val="28"/>
        </w:rPr>
        <w:t xml:space="preserve"> особа, яка безпосередньо надає одну або декілька послуг з адаптації, за своїм рівнем освіти, кваліфікацією, компетентністю та досвідом практичної роботи має право провадити практичну діяльність в обсягах та на умовах, передбачених цим Порядком.</w:t>
      </w:r>
    </w:p>
    <w:p w14:paraId="5D4A06EA"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Інші терміни вживаються у значенні, наведеному в Основах законодавства України про охорону здоров’я, Законах України “Про соціальні послуги”, “Про соціальну роботу з сім’ями, дітьми та молоддю”, “Про реабілітацію у сфері охорони здоров’я”, “Про реабілітацію осіб з інвалідністю в Україні”, “Про соціальний і правовий захист військовослужбовців та членів їх сімей”, “Про статус ветеранів війни, гарантії їх соціального захисту”, “Про державні фінансові гарантії медичного обслуговування населення”, “Про систему охорони психічного здоров’я” та інших нормативно-правових актах з питань забезпечення соціального захисту, організації та надання соціальних і освітніх послуг, провадження соціальної роботи та реабілітації.</w:t>
      </w:r>
    </w:p>
    <w:p w14:paraId="7BF832EB" w14:textId="6FC17440" w:rsidR="00C82AD7" w:rsidRPr="00957B1D" w:rsidRDefault="00C82AD7" w:rsidP="00C82AD7">
      <w:pPr>
        <w:pStyle w:val="a5"/>
        <w:numPr>
          <w:ilvl w:val="0"/>
          <w:numId w:val="5"/>
        </w:numPr>
        <w:shd w:val="clear" w:color="auto" w:fill="FFFFFF"/>
        <w:tabs>
          <w:tab w:val="left" w:pos="851"/>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Метою експериментального </w:t>
      </w:r>
      <w:r w:rsidR="00DF33FE">
        <w:rPr>
          <w:rFonts w:ascii="Times New Roman" w:hAnsi="Times New Roman"/>
          <w:sz w:val="28"/>
          <w:szCs w:val="28"/>
        </w:rPr>
        <w:t>проекту</w:t>
      </w:r>
      <w:r w:rsidRPr="00957B1D">
        <w:rPr>
          <w:rFonts w:ascii="Times New Roman" w:hAnsi="Times New Roman"/>
          <w:sz w:val="28"/>
          <w:szCs w:val="28"/>
        </w:rPr>
        <w:t xml:space="preserve"> є створення умов для соціальної інтеграції, незалежного способу життя, доступу до медичної, соціальної, освітньої та реабілітаційної допомоги, психологічної підтримки, а також сприяння працевлаштуванню та підвищенню якості життя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w:t>
      </w:r>
    </w:p>
    <w:p w14:paraId="7BC6617F" w14:textId="6B141993" w:rsidR="00C82AD7" w:rsidRPr="00957B1D" w:rsidRDefault="00C82AD7" w:rsidP="00C82AD7">
      <w:pPr>
        <w:pStyle w:val="a5"/>
        <w:numPr>
          <w:ilvl w:val="0"/>
          <w:numId w:val="5"/>
        </w:numPr>
        <w:shd w:val="clear" w:color="auto" w:fill="FFFFFF"/>
        <w:tabs>
          <w:tab w:val="left" w:pos="851"/>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Координатором експериментального </w:t>
      </w:r>
      <w:r w:rsidR="00DF33FE">
        <w:rPr>
          <w:rFonts w:ascii="Times New Roman" w:hAnsi="Times New Roman"/>
          <w:sz w:val="28"/>
          <w:szCs w:val="28"/>
        </w:rPr>
        <w:t>проекту</w:t>
      </w:r>
      <w:r w:rsidRPr="00957B1D">
        <w:rPr>
          <w:rFonts w:ascii="Times New Roman" w:hAnsi="Times New Roman"/>
          <w:sz w:val="28"/>
          <w:szCs w:val="28"/>
        </w:rPr>
        <w:t xml:space="preserve"> є Мінветеранів.</w:t>
      </w:r>
    </w:p>
    <w:p w14:paraId="0497365B" w14:textId="36E85D4D"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Учасниками експериментального </w:t>
      </w:r>
      <w:r w:rsidR="00DF33FE">
        <w:rPr>
          <w:rFonts w:ascii="Times New Roman" w:hAnsi="Times New Roman"/>
          <w:sz w:val="28"/>
          <w:szCs w:val="28"/>
        </w:rPr>
        <w:t>проекту</w:t>
      </w:r>
      <w:r w:rsidRPr="00957B1D">
        <w:rPr>
          <w:rFonts w:ascii="Times New Roman" w:hAnsi="Times New Roman"/>
          <w:sz w:val="28"/>
          <w:szCs w:val="28"/>
        </w:rPr>
        <w:t xml:space="preserve"> є МОЗ, Мінсоцполітики, МОН, НСЗУ, районні, районні у містах Києві та Севастополі держадміністрації, виконавчі органи сільських, селищних, міських рад (за згодою), суб’єкти надання послуг з адаптації та особи </w:t>
      </w:r>
      <w:r w:rsidR="00E219E3">
        <w:rPr>
          <w:rFonts w:ascii="Times New Roman" w:hAnsi="Times New Roman"/>
          <w:sz w:val="28"/>
          <w:szCs w:val="28"/>
        </w:rPr>
        <w:t>—</w:t>
      </w:r>
      <w:r w:rsidRPr="00957B1D">
        <w:rPr>
          <w:rFonts w:ascii="Times New Roman" w:hAnsi="Times New Roman"/>
          <w:sz w:val="28"/>
          <w:szCs w:val="28"/>
        </w:rPr>
        <w:t xml:space="preserve"> отримувач послуг з адаптації</w:t>
      </w:r>
    </w:p>
    <w:p w14:paraId="380D0638"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Мінветеранів за погодженням з МОЗ та МОН, Мінсоцполітики, Міноборони та МВС забезпечує розробку і затвердження типової програми з адаптації та методичних рекомендацій до неї.</w:t>
      </w:r>
    </w:p>
    <w:p w14:paraId="66B45EEB" w14:textId="4401C9A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Програму адаптації на рівні громади, в якій проживає особа </w:t>
      </w:r>
      <w:r w:rsidR="00E219E3">
        <w:rPr>
          <w:rFonts w:ascii="Times New Roman" w:hAnsi="Times New Roman"/>
          <w:sz w:val="28"/>
          <w:szCs w:val="28"/>
        </w:rPr>
        <w:t>—</w:t>
      </w:r>
      <w:r w:rsidRPr="00957B1D">
        <w:rPr>
          <w:rFonts w:ascii="Times New Roman" w:hAnsi="Times New Roman"/>
          <w:sz w:val="28"/>
          <w:szCs w:val="28"/>
        </w:rPr>
        <w:t xml:space="preserve"> отримувач послуг з адаптації, а також моніторинг їх впровадження розробляє та затверджує Мінсоцполітики за погодженням з МОЗ, </w:t>
      </w:r>
      <w:r w:rsidRPr="00957B1D">
        <w:rPr>
          <w:rFonts w:ascii="Times New Roman" w:hAnsi="Times New Roman"/>
          <w:sz w:val="28"/>
          <w:szCs w:val="28"/>
        </w:rPr>
        <w:lastRenderedPageBreak/>
        <w:t xml:space="preserve">Мінветеранів, Міноборони, МВС та </w:t>
      </w:r>
      <w:proofErr w:type="spellStart"/>
      <w:r w:rsidRPr="00957B1D">
        <w:rPr>
          <w:rFonts w:ascii="Times New Roman" w:hAnsi="Times New Roman"/>
          <w:sz w:val="28"/>
          <w:szCs w:val="28"/>
        </w:rPr>
        <w:t>Мінрозвитку</w:t>
      </w:r>
      <w:proofErr w:type="spellEnd"/>
      <w:r w:rsidRPr="00957B1D">
        <w:rPr>
          <w:rFonts w:ascii="Times New Roman" w:hAnsi="Times New Roman"/>
          <w:sz w:val="28"/>
          <w:szCs w:val="28"/>
        </w:rPr>
        <w:t>. Реалізація таких програм відбувається у взаємодії Мінветеранів та районними, районними в мм. Києві та Севастополі держадміністраціями, виконавчими органами сільських, селищних, міських рад.</w:t>
      </w:r>
    </w:p>
    <w:p w14:paraId="30AA4FA3"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Програми з підвищення кваліфікації фахівців, які надають послуги з адаптації, розробляє МОН за погодженням з Мінветеранів.</w:t>
      </w:r>
    </w:p>
    <w:p w14:paraId="10BDFA22" w14:textId="1E74F1FF" w:rsidR="00C82AD7" w:rsidRPr="00957B1D" w:rsidRDefault="00C82AD7" w:rsidP="00C82AD7">
      <w:pPr>
        <w:pStyle w:val="a5"/>
        <w:numPr>
          <w:ilvl w:val="0"/>
          <w:numId w:val="5"/>
        </w:numPr>
        <w:shd w:val="clear" w:color="auto" w:fill="FFFFFF"/>
        <w:tabs>
          <w:tab w:val="left" w:pos="851"/>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Основними завданнями експериментального </w:t>
      </w:r>
      <w:r w:rsidR="00DF33FE">
        <w:rPr>
          <w:rFonts w:ascii="Times New Roman" w:hAnsi="Times New Roman"/>
          <w:sz w:val="28"/>
          <w:szCs w:val="28"/>
        </w:rPr>
        <w:t>проекту</w:t>
      </w:r>
      <w:r w:rsidRPr="00957B1D">
        <w:rPr>
          <w:rFonts w:ascii="Times New Roman" w:hAnsi="Times New Roman"/>
          <w:sz w:val="28"/>
          <w:szCs w:val="28"/>
        </w:rPr>
        <w:t xml:space="preserve"> є:</w:t>
      </w:r>
    </w:p>
    <w:p w14:paraId="63319CA0" w14:textId="4489E26D"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забезпечення надання медичної допомоги, супроводу, навчальних послуг з адаптації (ознайомлення з рельєфно-крапковою системою Брайля та читанням рельєфних малюнків, сучасними інформаційними технологіями, що забезпечують доступ до комунікації та інформації, формування щоденних навичок, орієнтування в просторі та мобільності) та психосоціальної допомоги, необхідних для ефективної адаптації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w:t>
      </w:r>
    </w:p>
    <w:p w14:paraId="0152A1C3" w14:textId="025B500C"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розробка та реалізація навчальних програм для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їхніх членів сім’ї та фахівців, які працюють у сфері адаптації та реабілітації;</w:t>
      </w:r>
    </w:p>
    <w:p w14:paraId="5A145E13" w14:textId="092CA082"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сприяння соціальній інтеграції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що створює передумови для їхньої подальшої перекваліфікації та працевлаштування; </w:t>
      </w:r>
    </w:p>
    <w:p w14:paraId="5A69ED7F"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створення умов для </w:t>
      </w:r>
      <w:proofErr w:type="spellStart"/>
      <w:r w:rsidRPr="00957B1D">
        <w:rPr>
          <w:rFonts w:ascii="Times New Roman" w:hAnsi="Times New Roman"/>
          <w:sz w:val="28"/>
          <w:szCs w:val="28"/>
        </w:rPr>
        <w:t>безбар’єрного</w:t>
      </w:r>
      <w:proofErr w:type="spellEnd"/>
      <w:r w:rsidRPr="00957B1D">
        <w:rPr>
          <w:rFonts w:ascii="Times New Roman" w:hAnsi="Times New Roman"/>
          <w:sz w:val="28"/>
          <w:szCs w:val="28"/>
        </w:rPr>
        <w:t xml:space="preserve"> доступу до об’єктів інфраструктури, включаючи переобладнання житла, адаптацію транспортних засобів, громадських, публічних та робочих місць для осіб, які повністю або частково втратили зір;</w:t>
      </w:r>
    </w:p>
    <w:p w14:paraId="2CC90A56" w14:textId="42A4E74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залучення організацій громадянського суспільства до процесу соціальної адаптації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w:t>
      </w:r>
    </w:p>
    <w:p w14:paraId="379E5FFB" w14:textId="59FAE3A0"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контроль за якістю надання послуг з адаптації, моніторинг результативності програм та їх коригування відповідно до потреб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w:t>
      </w:r>
    </w:p>
    <w:p w14:paraId="51D4F8C0" w14:textId="77777777" w:rsidR="00C82AD7" w:rsidRPr="00957B1D" w:rsidRDefault="00C82AD7" w:rsidP="00C82AD7">
      <w:pPr>
        <w:pStyle w:val="a5"/>
        <w:numPr>
          <w:ilvl w:val="0"/>
          <w:numId w:val="5"/>
        </w:numPr>
        <w:shd w:val="clear" w:color="auto" w:fill="FFFFFF"/>
        <w:tabs>
          <w:tab w:val="left" w:pos="851"/>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Послуги з адаптації можуть надаватися у такій формі:</w:t>
      </w:r>
    </w:p>
    <w:p w14:paraId="7257AC0C" w14:textId="2EB951E6"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індивідуальній </w:t>
      </w:r>
      <w:r w:rsidR="00E219E3">
        <w:rPr>
          <w:rFonts w:ascii="Times New Roman" w:hAnsi="Times New Roman"/>
          <w:sz w:val="28"/>
          <w:szCs w:val="28"/>
        </w:rPr>
        <w:t>—</w:t>
      </w:r>
      <w:r w:rsidRPr="00957B1D">
        <w:rPr>
          <w:rFonts w:ascii="Times New Roman" w:hAnsi="Times New Roman"/>
          <w:sz w:val="28"/>
          <w:szCs w:val="28"/>
        </w:rPr>
        <w:t xml:space="preserve"> за відсутності сторонніх осіб;</w:t>
      </w:r>
    </w:p>
    <w:p w14:paraId="28704172" w14:textId="6FAE8539"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сімейній </w:t>
      </w:r>
      <w:r w:rsidR="00E219E3">
        <w:rPr>
          <w:rFonts w:ascii="Times New Roman" w:hAnsi="Times New Roman"/>
          <w:sz w:val="28"/>
          <w:szCs w:val="28"/>
        </w:rPr>
        <w:t>—</w:t>
      </w:r>
      <w:r w:rsidRPr="00957B1D">
        <w:rPr>
          <w:rFonts w:ascii="Times New Roman" w:hAnsi="Times New Roman"/>
          <w:sz w:val="28"/>
          <w:szCs w:val="28"/>
        </w:rPr>
        <w:t xml:space="preserve"> разом із особами, що перебувають у родинних стосунках або проживають в одному домогосподарстві;</w:t>
      </w:r>
    </w:p>
    <w:p w14:paraId="758B7A44" w14:textId="2337DA43"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груповій </w:t>
      </w:r>
      <w:r w:rsidR="00E219E3">
        <w:rPr>
          <w:rFonts w:ascii="Times New Roman" w:hAnsi="Times New Roman"/>
          <w:sz w:val="28"/>
          <w:szCs w:val="28"/>
        </w:rPr>
        <w:t>—</w:t>
      </w:r>
      <w:r w:rsidRPr="00957B1D">
        <w:rPr>
          <w:rFonts w:ascii="Times New Roman" w:hAnsi="Times New Roman"/>
          <w:sz w:val="28"/>
          <w:szCs w:val="28"/>
        </w:rPr>
        <w:t xml:space="preserve"> у групі з іншими особами </w:t>
      </w:r>
      <w:r w:rsidR="00E219E3">
        <w:rPr>
          <w:rFonts w:ascii="Times New Roman" w:hAnsi="Times New Roman"/>
          <w:sz w:val="28"/>
          <w:szCs w:val="28"/>
        </w:rPr>
        <w:t>—</w:t>
      </w:r>
      <w:r w:rsidRPr="00957B1D">
        <w:rPr>
          <w:rFonts w:ascii="Times New Roman" w:hAnsi="Times New Roman"/>
          <w:sz w:val="28"/>
          <w:szCs w:val="28"/>
        </w:rPr>
        <w:t xml:space="preserve"> отримувачами послуг з адаптації у складі не більш як 10 осіб.</w:t>
      </w:r>
    </w:p>
    <w:p w14:paraId="02DE8A54"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Вибір форми надання послуг з адаптації залежить від виду послуги, мети, завдань, етапу та шляхів надання послуги з адаптації.</w:t>
      </w:r>
    </w:p>
    <w:p w14:paraId="2E6D634D" w14:textId="77777777" w:rsidR="00C82AD7" w:rsidRPr="00957B1D" w:rsidRDefault="00C82AD7" w:rsidP="00C82AD7">
      <w:pPr>
        <w:pStyle w:val="a5"/>
        <w:numPr>
          <w:ilvl w:val="0"/>
          <w:numId w:val="5"/>
        </w:numPr>
        <w:shd w:val="clear" w:color="auto" w:fill="FFFFFF"/>
        <w:tabs>
          <w:tab w:val="left" w:pos="851"/>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Надання послуг з адаптації здійснюється з урахуванням таких принципів етичної та безпечної поведінки:</w:t>
      </w:r>
    </w:p>
    <w:p w14:paraId="35874FF3"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lastRenderedPageBreak/>
        <w:t>повага до прав людини, честі та гідності;</w:t>
      </w:r>
    </w:p>
    <w:p w14:paraId="2312F8FE"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компетентність;</w:t>
      </w:r>
    </w:p>
    <w:p w14:paraId="29E6E857" w14:textId="5BD2F063"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добровільність, що передбачає неможливість надання послуг з адаптації без поінформованої і добровільної згоди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w:t>
      </w:r>
    </w:p>
    <w:p w14:paraId="1A6C10B3" w14:textId="78CB3C69"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конфіденційність, що передбачає гарантування особистісної та соціальної безпеки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та збереження в таємниці всіх відомостей, отриманих під час надання послуги з адаптації.</w:t>
      </w:r>
    </w:p>
    <w:p w14:paraId="3EC95441"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Збирання та обробка персональних даних суб’єктами надання послуг з адаптації здійснюється з дотриманням вимог Законів України “Про захист персональних даних” та “Про захист інформації в інформаційно-комунікаційних системах”.</w:t>
      </w:r>
    </w:p>
    <w:p w14:paraId="4CB2286A" w14:textId="609E0113" w:rsidR="00C82AD7" w:rsidRPr="00957B1D" w:rsidRDefault="00C82AD7" w:rsidP="00C82AD7">
      <w:pPr>
        <w:pStyle w:val="a5"/>
        <w:numPr>
          <w:ilvl w:val="0"/>
          <w:numId w:val="5"/>
        </w:numPr>
        <w:shd w:val="clear" w:color="auto" w:fill="FFFFFF"/>
        <w:tabs>
          <w:tab w:val="left" w:pos="851"/>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Система адаптації для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розпочинається від моменту виявлення зорових порушень в особи у зв’язку з травмою, яка виникла внаслідок бойових дій або проявами захворювань, що пов’язані з проходженням військової служби або із захистом Батьківщини, до повної інтеграції у громаду.</w:t>
      </w:r>
    </w:p>
    <w:p w14:paraId="69C54C70" w14:textId="77777777" w:rsidR="00C82AD7" w:rsidRPr="00957B1D" w:rsidRDefault="00C82AD7" w:rsidP="00C82AD7">
      <w:pPr>
        <w:pStyle w:val="a5"/>
        <w:numPr>
          <w:ilvl w:val="0"/>
          <w:numId w:val="5"/>
        </w:numPr>
        <w:shd w:val="clear" w:color="auto" w:fill="FFFFFF"/>
        <w:tabs>
          <w:tab w:val="left" w:pos="851"/>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Послуги з адаптації здійснюються на таких рівнях:</w:t>
      </w:r>
    </w:p>
    <w:p w14:paraId="51124E09" w14:textId="0A282EC1"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1) перший рівень </w:t>
      </w:r>
      <w:r w:rsidR="00E219E3">
        <w:rPr>
          <w:rFonts w:ascii="Times New Roman" w:hAnsi="Times New Roman"/>
          <w:sz w:val="28"/>
          <w:szCs w:val="28"/>
        </w:rPr>
        <w:t>—</w:t>
      </w:r>
      <w:r w:rsidRPr="00957B1D">
        <w:rPr>
          <w:rFonts w:ascii="Times New Roman" w:hAnsi="Times New Roman"/>
          <w:sz w:val="28"/>
          <w:szCs w:val="28"/>
        </w:rPr>
        <w:t xml:space="preserve"> забезпечує надання послуг під час стаціонарного лікування та включає реабілітаційні втручання гострого періоду, що спрямовані на відновлення порушених функцій організму невідкладну психологічну допомогу, розробку індивідуального реабілітаційного плану у закладах охорони здоров’я відповідно до клінічного маршруту лікування та/або реабілітації осіб, які повністю або частково втратили зір, внаслідок бойової травми.</w:t>
      </w:r>
    </w:p>
    <w:p w14:paraId="464897F2" w14:textId="1C55B3EB"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На першому рівні здійснюється первинна комплексна оцінка потреби у послугах з адаптації, підготовка індивідуального плану адаптації, виходячи з потреб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та забезпечуються базові заходи з адаптації (навчання основам догляду за собою з урахуванням втрати зору, консультування щодо раннього використання допоміжних засобів (біла тростина, смартфон та інші засоби побутової адаптації) та інформування про доступні послуги з реабілітації, адаптації та соціальної підтримки зі своєчасним направленням на наступний рівень послуги з адаптації;</w:t>
      </w:r>
    </w:p>
    <w:p w14:paraId="69F9EF3C" w14:textId="2B8AEEF1"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2) другий рівень </w:t>
      </w:r>
      <w:r w:rsidR="00E219E3">
        <w:rPr>
          <w:rFonts w:ascii="Times New Roman" w:hAnsi="Times New Roman"/>
          <w:sz w:val="28"/>
          <w:szCs w:val="28"/>
        </w:rPr>
        <w:t>—</w:t>
      </w:r>
      <w:r w:rsidRPr="00957B1D">
        <w:rPr>
          <w:rFonts w:ascii="Times New Roman" w:hAnsi="Times New Roman"/>
          <w:sz w:val="28"/>
          <w:szCs w:val="28"/>
        </w:rPr>
        <w:t xml:space="preserve"> забезпечує комплексний підхід в наданні послуг з адаптації на базі відповідних закладів та установ, які мають необхідну матеріально-технічну базу, фахівців та відповідають вимогам відповідно до цього Порядку.</w:t>
      </w:r>
    </w:p>
    <w:p w14:paraId="345BC636" w14:textId="13D34D15"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На другому рівні послуг з адаптації, що надаються у відповідних закладах, здійснюється навчання навичкам орієнтування в просторі та мобільності, формування щоденних навичок самообслуговування, </w:t>
      </w:r>
      <w:r w:rsidRPr="00957B1D">
        <w:rPr>
          <w:rFonts w:ascii="Times New Roman" w:hAnsi="Times New Roman"/>
          <w:sz w:val="28"/>
          <w:szCs w:val="28"/>
        </w:rPr>
        <w:lastRenderedPageBreak/>
        <w:t xml:space="preserve">ознайомлення з рельєфно-крапковою системою Брайля та читанням рельєфних малюнків, використання </w:t>
      </w:r>
      <w:proofErr w:type="spellStart"/>
      <w:r w:rsidRPr="00957B1D">
        <w:rPr>
          <w:rFonts w:ascii="Times New Roman" w:hAnsi="Times New Roman"/>
          <w:sz w:val="28"/>
          <w:szCs w:val="28"/>
        </w:rPr>
        <w:t>асистивних</w:t>
      </w:r>
      <w:proofErr w:type="spellEnd"/>
      <w:r w:rsidRPr="00957B1D">
        <w:rPr>
          <w:rFonts w:ascii="Times New Roman" w:hAnsi="Times New Roman"/>
          <w:sz w:val="28"/>
          <w:szCs w:val="28"/>
        </w:rPr>
        <w:t xml:space="preserve"> та сучасних інформаційних технологій, що забезпечують доступ до комунікації та інформації, а також надається фізична реабілітація, психологічний супровід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послуги з адаптації та її родини, проводяться рекреаційні заходи та ознайомлення з адаптивними видами спорту;</w:t>
      </w:r>
    </w:p>
    <w:p w14:paraId="3FCFD14C" w14:textId="068161FC"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3) третій рівень </w:t>
      </w:r>
      <w:r w:rsidR="00E219E3">
        <w:rPr>
          <w:rFonts w:ascii="Times New Roman" w:hAnsi="Times New Roman"/>
          <w:sz w:val="28"/>
          <w:szCs w:val="28"/>
        </w:rPr>
        <w:t>—</w:t>
      </w:r>
      <w:r w:rsidRPr="00957B1D">
        <w:rPr>
          <w:rFonts w:ascii="Times New Roman" w:hAnsi="Times New Roman"/>
          <w:sz w:val="28"/>
          <w:szCs w:val="28"/>
        </w:rPr>
        <w:t xml:space="preserve"> відбувається на рівні громади та забезпечує додаткове навчання і супровід для відпрацювання навичок орієнтування за місцем проживання (квартира, будинок), організація простору для зручності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побудови та відпрацювання пересування основними маршрутами поза місцем проживання тощо.</w:t>
      </w:r>
    </w:p>
    <w:p w14:paraId="229D159F"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Супровід в громаді також включає соціальний супровід та адаптацію, допомогу у самообслуговуванні вдома, підтримку у сфері зайнятості та працевлаштування, організацію дозвілля, а також надання допомоги у вирішенні адміністративних, юридичних і соціальних питань.</w:t>
      </w:r>
    </w:p>
    <w:p w14:paraId="7F533366"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Потребу в послугах з адаптації, які надаються на першому та другому рівнях, визначає Мінветеранів, яке:</w:t>
      </w:r>
    </w:p>
    <w:p w14:paraId="35E7CA90" w14:textId="789B4338"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1) забезпечує формування і ведення Переліку суб’єктів надання послуг з адаптації для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 (далі </w:t>
      </w:r>
      <w:r w:rsidR="00E219E3">
        <w:rPr>
          <w:rFonts w:ascii="Times New Roman" w:hAnsi="Times New Roman"/>
          <w:sz w:val="28"/>
          <w:szCs w:val="28"/>
        </w:rPr>
        <w:t>—</w:t>
      </w:r>
      <w:r w:rsidRPr="00957B1D">
        <w:rPr>
          <w:rFonts w:ascii="Times New Roman" w:hAnsi="Times New Roman"/>
          <w:sz w:val="28"/>
          <w:szCs w:val="28"/>
        </w:rPr>
        <w:t xml:space="preserve"> Перелік);</w:t>
      </w:r>
    </w:p>
    <w:p w14:paraId="1852CF8E"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2) координує надання послуг із адаптації, які надаються на першому та другому рівнях, проводить моніторинг та оцінку якості послуг, що надаються суб’єктами надання послуг з адаптації, реагує на скарги щодо якості наданих послуг та аналізує якість їх надання;</w:t>
      </w:r>
    </w:p>
    <w:p w14:paraId="3BF13AE0" w14:textId="6EC19428"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3) веде облік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w:t>
      </w:r>
    </w:p>
    <w:p w14:paraId="306C775F"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Потребу у послугах з адаптації, які надаються суб’єктом надання послуг з адаптації на третьому рівні, визначають районні, районні в мм. Києві та Севастополі держадміністрації, виконавчі органи сільських, селищних, міських рад за місцем проживання (перебування) отримувачів послуг з адаптації із залученням фахівців із супроводу ветеранів війни та демобілізованих осіб та/або інших фахівців (за потреби), які пройшли програму з підвищення кваліфікації фахівців, які надають послуги з адаптації, на базі Науково-навчального експертного центру “Бородянка”.</w:t>
      </w:r>
    </w:p>
    <w:p w14:paraId="4C2C42BD" w14:textId="19E22705"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Запланована кількість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які отримають послуги з адаптації на першому та другому рівнях під час реалізації експериментального </w:t>
      </w:r>
      <w:r w:rsidR="00DF33FE">
        <w:rPr>
          <w:rFonts w:ascii="Times New Roman" w:hAnsi="Times New Roman"/>
          <w:sz w:val="28"/>
          <w:szCs w:val="28"/>
        </w:rPr>
        <w:t>проекту</w:t>
      </w:r>
      <w:r w:rsidRPr="00957B1D">
        <w:rPr>
          <w:rFonts w:ascii="Times New Roman" w:hAnsi="Times New Roman"/>
          <w:sz w:val="28"/>
          <w:szCs w:val="28"/>
        </w:rPr>
        <w:t>, становить 200 осіб у 2025 році та 500 осіб у 2026 році.</w:t>
      </w:r>
    </w:p>
    <w:p w14:paraId="59093496" w14:textId="7FE470DC"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Експериментальний </w:t>
      </w:r>
      <w:r w:rsidR="00DF33FE">
        <w:rPr>
          <w:rFonts w:ascii="Times New Roman" w:hAnsi="Times New Roman"/>
          <w:sz w:val="28"/>
          <w:szCs w:val="28"/>
        </w:rPr>
        <w:t>проект</w:t>
      </w:r>
      <w:r w:rsidRPr="00957B1D">
        <w:rPr>
          <w:rFonts w:ascii="Times New Roman" w:hAnsi="Times New Roman"/>
          <w:sz w:val="28"/>
          <w:szCs w:val="28"/>
        </w:rPr>
        <w:t xml:space="preserve"> на першому та другому рівнях реалізується за рахунок коштів, передбачених у загальному фонді </w:t>
      </w:r>
      <w:r w:rsidRPr="00957B1D">
        <w:rPr>
          <w:rFonts w:ascii="Times New Roman" w:hAnsi="Times New Roman"/>
          <w:sz w:val="28"/>
          <w:szCs w:val="28"/>
        </w:rPr>
        <w:lastRenderedPageBreak/>
        <w:t>державного бюджету за бюджетною програмою “Заходи з підтримки та допомоги ветеранам війни, членам їх сімей та членам родин загиблих” (далі </w:t>
      </w:r>
      <w:r w:rsidR="00E219E3">
        <w:rPr>
          <w:rFonts w:ascii="Times New Roman" w:hAnsi="Times New Roman"/>
          <w:sz w:val="28"/>
          <w:szCs w:val="28"/>
        </w:rPr>
        <w:t>—</w:t>
      </w:r>
      <w:r w:rsidRPr="00957B1D">
        <w:rPr>
          <w:rFonts w:ascii="Times New Roman" w:hAnsi="Times New Roman"/>
          <w:sz w:val="28"/>
          <w:szCs w:val="28"/>
        </w:rPr>
        <w:t xml:space="preserve"> бюджетні кошти) та інших не заборонених джерел фінансування.</w:t>
      </w:r>
    </w:p>
    <w:p w14:paraId="513335DC" w14:textId="77777777" w:rsidR="00C82AD7" w:rsidRPr="00957B1D" w:rsidRDefault="00C82AD7" w:rsidP="00C82AD7">
      <w:pPr>
        <w:shd w:val="clear" w:color="auto" w:fill="FFFFFF"/>
        <w:tabs>
          <w:tab w:val="left" w:pos="993"/>
        </w:tabs>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Суб’єктами надання послуг з адаптації на першому та другому рівнях здійснюється надання послуг з адаптації за рахунок бюджетних коштів на підставі договорів, укладених відповідно до цього Порядку, крім послуг, фінансування яких здійснюється за рахунок коштів інших програм державного бюджету та місцевих бюджетів, а також інших джерел, не заборонених законодавством.</w:t>
      </w:r>
    </w:p>
    <w:p w14:paraId="34A60AD2"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4"/>
          <w:szCs w:val="24"/>
        </w:rPr>
      </w:pPr>
      <w:r w:rsidRPr="00957B1D">
        <w:rPr>
          <w:rFonts w:ascii="Times New Roman" w:hAnsi="Times New Roman"/>
          <w:sz w:val="28"/>
          <w:szCs w:val="28"/>
        </w:rPr>
        <w:t xml:space="preserve">Послуги з адаптації на першому та другому рівнях надаються </w:t>
      </w:r>
      <w:proofErr w:type="spellStart"/>
      <w:r w:rsidRPr="00957B1D">
        <w:rPr>
          <w:rFonts w:ascii="Times New Roman" w:hAnsi="Times New Roman"/>
          <w:sz w:val="28"/>
          <w:szCs w:val="28"/>
        </w:rPr>
        <w:t>мультидисциплінарною</w:t>
      </w:r>
      <w:proofErr w:type="spellEnd"/>
      <w:r w:rsidRPr="00957B1D">
        <w:rPr>
          <w:rFonts w:ascii="Times New Roman" w:hAnsi="Times New Roman"/>
          <w:sz w:val="28"/>
          <w:szCs w:val="28"/>
        </w:rPr>
        <w:t xml:space="preserve"> командою з адаптації, склад якої визначається залежно від виду й обсягу поставлених завдань (послуг, що надаватимуться).</w:t>
      </w:r>
    </w:p>
    <w:p w14:paraId="60F9E238"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До основного складу </w:t>
      </w:r>
      <w:proofErr w:type="spellStart"/>
      <w:r w:rsidRPr="00957B1D">
        <w:rPr>
          <w:rFonts w:ascii="Times New Roman" w:hAnsi="Times New Roman"/>
          <w:sz w:val="28"/>
          <w:szCs w:val="28"/>
        </w:rPr>
        <w:t>мультидисциплінарної</w:t>
      </w:r>
      <w:proofErr w:type="spellEnd"/>
      <w:r w:rsidRPr="00957B1D">
        <w:rPr>
          <w:rFonts w:ascii="Times New Roman" w:hAnsi="Times New Roman"/>
          <w:sz w:val="28"/>
          <w:szCs w:val="28"/>
        </w:rPr>
        <w:t xml:space="preserve"> команди з адаптації повинні входити:</w:t>
      </w:r>
    </w:p>
    <w:p w14:paraId="6D686691" w14:textId="096D3EA8"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кейс-менеджер із надання адаптації, що відповідає за координацію дій такої команди щодо надання особі </w:t>
      </w:r>
      <w:r w:rsidR="00E219E3">
        <w:rPr>
          <w:rFonts w:ascii="Times New Roman" w:hAnsi="Times New Roman" w:cs="Times New Roman"/>
          <w:sz w:val="28"/>
          <w:szCs w:val="28"/>
        </w:rPr>
        <w:t>—</w:t>
      </w:r>
      <w:r w:rsidRPr="00957B1D">
        <w:rPr>
          <w:rFonts w:ascii="Times New Roman" w:hAnsi="Times New Roman"/>
          <w:sz w:val="28"/>
          <w:szCs w:val="28"/>
        </w:rPr>
        <w:t xml:space="preserve"> отримувачу послуг з адаптації у повному обсязі послуг з адаптації відповідно до його індивідуальних потреб, зокрема за визначення цілей та планування заходів для їх досягнення, проведення оцінки результатів надання послуг з адаптації;</w:t>
      </w:r>
    </w:p>
    <w:p w14:paraId="5933BBEA"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вчитель-дефектолог, або корекційний педагог, або вчитель-</w:t>
      </w:r>
      <w:proofErr w:type="spellStart"/>
      <w:r w:rsidRPr="00957B1D">
        <w:rPr>
          <w:rFonts w:ascii="Times New Roman" w:hAnsi="Times New Roman"/>
          <w:sz w:val="28"/>
          <w:szCs w:val="28"/>
        </w:rPr>
        <w:t>реабілітолог</w:t>
      </w:r>
      <w:proofErr w:type="spellEnd"/>
      <w:r w:rsidRPr="00957B1D">
        <w:rPr>
          <w:rFonts w:ascii="Times New Roman" w:hAnsi="Times New Roman"/>
          <w:sz w:val="28"/>
          <w:szCs w:val="28"/>
        </w:rPr>
        <w:t xml:space="preserve">, або тифлопедагог, або </w:t>
      </w:r>
      <w:proofErr w:type="spellStart"/>
      <w:r w:rsidRPr="00957B1D">
        <w:rPr>
          <w:rFonts w:ascii="Times New Roman" w:hAnsi="Times New Roman"/>
          <w:sz w:val="28"/>
          <w:szCs w:val="28"/>
        </w:rPr>
        <w:t>ерготерапевт</w:t>
      </w:r>
      <w:proofErr w:type="spellEnd"/>
      <w:r w:rsidRPr="00957B1D">
        <w:rPr>
          <w:rFonts w:ascii="Times New Roman" w:hAnsi="Times New Roman"/>
          <w:sz w:val="28"/>
          <w:szCs w:val="28"/>
        </w:rPr>
        <w:t xml:space="preserve">, які мають сертифікат про проходження курсу підвищення кваліфікації з орієнтування та мобільності з використанням білої тростини та без неї; </w:t>
      </w:r>
    </w:p>
    <w:p w14:paraId="30BCE7EF"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психолог або психотерапевт;</w:t>
      </w:r>
    </w:p>
    <w:p w14:paraId="5A1A9330"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спеціаліст з адаптивних інформаційних технологій, який має повну вищу освіту за спеціальністю відповідної галузі знань, зокрема у сфері інформаційних технологій та сертифікат з адаптивних інформаційних технологій (залучається для надання послуг з ознайомлення із сучасними інформаційними технологіями, що забезпечують доступ до комунікації та інформації).</w:t>
      </w:r>
    </w:p>
    <w:p w14:paraId="488D90B2"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У залежності від виду й обсягу поставлених завдань додатково до складу </w:t>
      </w:r>
      <w:proofErr w:type="spellStart"/>
      <w:r w:rsidRPr="00957B1D">
        <w:rPr>
          <w:rFonts w:ascii="Times New Roman" w:hAnsi="Times New Roman"/>
          <w:sz w:val="28"/>
          <w:szCs w:val="28"/>
        </w:rPr>
        <w:t>мультидисциплінарної</w:t>
      </w:r>
      <w:proofErr w:type="spellEnd"/>
      <w:r w:rsidRPr="00957B1D">
        <w:rPr>
          <w:rFonts w:ascii="Times New Roman" w:hAnsi="Times New Roman"/>
          <w:sz w:val="28"/>
          <w:szCs w:val="28"/>
        </w:rPr>
        <w:t xml:space="preserve"> команди з адаптації можуть бути включені такі фахівці:</w:t>
      </w:r>
    </w:p>
    <w:p w14:paraId="79F4EAF5"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фізичний терапевт;</w:t>
      </w:r>
    </w:p>
    <w:p w14:paraId="43E6A13B"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соціальний працівник;</w:t>
      </w:r>
    </w:p>
    <w:p w14:paraId="01C42164"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юрист;</w:t>
      </w:r>
    </w:p>
    <w:p w14:paraId="5C419B58"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фахівець із супроводу ветеранів війни та демобілізованих осіб (залучається для надання супроводу за напрямами можливої допомоги та послуг, передбачених законодавством для ветеранів війни, а також </w:t>
      </w:r>
      <w:r w:rsidRPr="00957B1D">
        <w:rPr>
          <w:rFonts w:ascii="Times New Roman" w:hAnsi="Times New Roman"/>
          <w:sz w:val="28"/>
          <w:szCs w:val="28"/>
        </w:rPr>
        <w:lastRenderedPageBreak/>
        <w:t>інформує ветеранів війни, демобілізованих осіб та членів їхніх сімей щодо отримання статусу, послуг та соціальних гарантій, отримання житла, реабілітації, працевлаштування, юридичної підтримки тощо).</w:t>
      </w:r>
    </w:p>
    <w:p w14:paraId="5BF16AA4"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Надання реабілітаційної допомоги фахівцями з реабілітації здійснюється відповідно до вимог провадження господарської діяльності з медичної практики, що передбачає право здійснення реабілітації у сфері охорони здоров’я, затверджених Кабінетом Міністрів України.</w:t>
      </w:r>
    </w:p>
    <w:p w14:paraId="57950718"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Фахівці з реабілітації, які надають допомогу особам, які потребують реабілітації відповідно до вимог Закону України “Про реабілітацію у сфері охорони здоров’я”, проходять атестацію в порядку, затвердженому МОЗ.</w:t>
      </w:r>
    </w:p>
    <w:p w14:paraId="0B3E04AE" w14:textId="67F04C69"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Особа </w:t>
      </w:r>
      <w:r w:rsidR="00E219E3">
        <w:rPr>
          <w:rFonts w:ascii="Times New Roman" w:hAnsi="Times New Roman"/>
          <w:sz w:val="28"/>
          <w:szCs w:val="28"/>
        </w:rPr>
        <w:t>—</w:t>
      </w:r>
      <w:r w:rsidRPr="00957B1D">
        <w:rPr>
          <w:rFonts w:ascii="Times New Roman" w:hAnsi="Times New Roman"/>
          <w:sz w:val="28"/>
          <w:szCs w:val="28"/>
        </w:rPr>
        <w:t xml:space="preserve"> отримувач послуг з адаптації має право:</w:t>
      </w:r>
    </w:p>
    <w:p w14:paraId="65463C55"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відмовитися від певних або всіх видів послуг з адаптації із зазначенням обґрунтованої причини такої відмови;</w:t>
      </w:r>
    </w:p>
    <w:p w14:paraId="528580C3"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вибирати та змінювати суб’єкта надання послуг з адаптації;</w:t>
      </w:r>
    </w:p>
    <w:p w14:paraId="66A9AAA7"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отримувати інформацію про послуги з адаптації, зокрема про результати діагностики, мету та зміст послуг з адаптації;</w:t>
      </w:r>
    </w:p>
    <w:p w14:paraId="1604C580"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отримати послуги з адаптації належної якості;</w:t>
      </w:r>
    </w:p>
    <w:p w14:paraId="50198A81"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надавати зворотній зв’язок щодо якості послуг з адаптації, суб’єкта надання послуг з адаптації тощо.</w:t>
      </w:r>
    </w:p>
    <w:p w14:paraId="7EE349E1"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Суб’єкти надання послуг з адаптації мають право:</w:t>
      </w:r>
    </w:p>
    <w:p w14:paraId="709646D4" w14:textId="6FFAE2D9"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вимагати від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дотримуватися правил і норм етичної поведінки, виконувати програму адаптації та дотримуватися рекомендацій і визначеного індивідуального плану;</w:t>
      </w:r>
    </w:p>
    <w:p w14:paraId="50282A3A"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отримувати оплату наданих послуг в розмірах та порядку, що визначаються Мінветеранів;</w:t>
      </w:r>
    </w:p>
    <w:p w14:paraId="2FE8CC9C" w14:textId="7B7098F3"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розірвати договірні відносини з особою </w:t>
      </w:r>
      <w:r w:rsidR="00E219E3">
        <w:rPr>
          <w:rFonts w:ascii="Times New Roman" w:hAnsi="Times New Roman"/>
          <w:sz w:val="28"/>
          <w:szCs w:val="28"/>
        </w:rPr>
        <w:t>—</w:t>
      </w:r>
      <w:r w:rsidRPr="00957B1D">
        <w:rPr>
          <w:rFonts w:ascii="Times New Roman" w:hAnsi="Times New Roman"/>
          <w:sz w:val="28"/>
          <w:szCs w:val="28"/>
        </w:rPr>
        <w:t xml:space="preserve"> отримувачем послуг з адаптації та припинити надання відповідних послуг, у разі порушення особою правил і норм етичної поведінки, невиконання програми адаптації та/або недотримання рекомендацій і визначеного індивідуального плану.</w:t>
      </w:r>
    </w:p>
    <w:p w14:paraId="10FE58D6"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Суб’єкти надання послуг з адаптації зобов’язані:</w:t>
      </w:r>
    </w:p>
    <w:p w14:paraId="08A2CD42"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мати офіційні трудові відносини (контракти) або цивільно-правові договори про надання послуг з фахівцями, що безпосередньо надаватимуть послуги з адаптації (для юридичних осіб);</w:t>
      </w:r>
    </w:p>
    <w:p w14:paraId="68A90356" w14:textId="4479C57F"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мати офіційні трудові відносини (контракти) або цивільно-правові договори про надання послуг з фахівцями, що безпосередньо надаватимуть послуги з адаптації або відповідати вимогам до фахівця, що безпосередньо надає такі послуги (для фізичних осіб </w:t>
      </w:r>
      <w:r w:rsidR="00E219E3">
        <w:rPr>
          <w:rFonts w:ascii="Times New Roman" w:hAnsi="Times New Roman"/>
          <w:sz w:val="28"/>
          <w:szCs w:val="28"/>
        </w:rPr>
        <w:t>—</w:t>
      </w:r>
      <w:r w:rsidRPr="00957B1D">
        <w:rPr>
          <w:rFonts w:ascii="Times New Roman" w:hAnsi="Times New Roman"/>
          <w:sz w:val="28"/>
          <w:szCs w:val="28"/>
        </w:rPr>
        <w:t xml:space="preserve"> підприємців);</w:t>
      </w:r>
    </w:p>
    <w:p w14:paraId="36F1FA72"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мати кабінет (кабінети) для надання індивідуальних (сімейних або групових) послуг з адаптації або мати можливість оренди такого </w:t>
      </w:r>
      <w:r w:rsidRPr="00957B1D">
        <w:rPr>
          <w:rFonts w:ascii="Times New Roman" w:hAnsi="Times New Roman"/>
          <w:sz w:val="28"/>
          <w:szCs w:val="28"/>
        </w:rPr>
        <w:lastRenderedPageBreak/>
        <w:t>кабінету/кабінетів або обладнане робоче місце (у разі дистанційного надання послуг);</w:t>
      </w:r>
    </w:p>
    <w:p w14:paraId="7C21B915"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провадити діяльність на підставі ліцензії на провадження господарської діяльності за відповідним напрямком (у разі, якщо це передбачено законодавством);</w:t>
      </w:r>
    </w:p>
    <w:p w14:paraId="34C65A62" w14:textId="58FFB28C"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перед початком надання послуг з адаптації отримати інформовану згоду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відповідно до вимог чинного законодавства;</w:t>
      </w:r>
    </w:p>
    <w:p w14:paraId="38862FE7"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для надання послуг з адаптації із застосуванням </w:t>
      </w:r>
      <w:proofErr w:type="spellStart"/>
      <w:r w:rsidRPr="00957B1D">
        <w:rPr>
          <w:rFonts w:ascii="Times New Roman" w:hAnsi="Times New Roman"/>
          <w:sz w:val="28"/>
          <w:szCs w:val="28"/>
        </w:rPr>
        <w:t>мультидисциплінарних</w:t>
      </w:r>
      <w:proofErr w:type="spellEnd"/>
      <w:r w:rsidRPr="00957B1D">
        <w:rPr>
          <w:rFonts w:ascii="Times New Roman" w:hAnsi="Times New Roman"/>
          <w:sz w:val="28"/>
          <w:szCs w:val="28"/>
        </w:rPr>
        <w:t xml:space="preserve"> команд з адаптації:</w:t>
      </w:r>
    </w:p>
    <w:p w14:paraId="0EE883A4"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мати структурний підрозділ (центр або відділення тощо), укомплектований працівниками, що виконують роботу на підставі трудового договору (контракту) або за цивільно-правовими договорами, який забезпечує надання </w:t>
      </w:r>
      <w:proofErr w:type="spellStart"/>
      <w:r w:rsidRPr="00957B1D">
        <w:rPr>
          <w:rFonts w:ascii="Times New Roman" w:hAnsi="Times New Roman"/>
          <w:sz w:val="28"/>
          <w:szCs w:val="28"/>
        </w:rPr>
        <w:t>мультидисциплінарною</w:t>
      </w:r>
      <w:proofErr w:type="spellEnd"/>
      <w:r w:rsidRPr="00957B1D">
        <w:rPr>
          <w:rFonts w:ascii="Times New Roman" w:hAnsi="Times New Roman"/>
          <w:sz w:val="28"/>
          <w:szCs w:val="28"/>
        </w:rPr>
        <w:t xml:space="preserve"> командою з адаптації послуг з адаптації;</w:t>
      </w:r>
    </w:p>
    <w:p w14:paraId="090EF270" w14:textId="73B42C90"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мати щонайменше один кабінет для прийому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членами </w:t>
      </w:r>
      <w:proofErr w:type="spellStart"/>
      <w:r w:rsidRPr="00957B1D">
        <w:rPr>
          <w:rFonts w:ascii="Times New Roman" w:hAnsi="Times New Roman"/>
          <w:sz w:val="28"/>
          <w:szCs w:val="28"/>
        </w:rPr>
        <w:t>мультидисциплінарної</w:t>
      </w:r>
      <w:proofErr w:type="spellEnd"/>
      <w:r w:rsidRPr="00957B1D">
        <w:rPr>
          <w:rFonts w:ascii="Times New Roman" w:hAnsi="Times New Roman"/>
          <w:sz w:val="28"/>
          <w:szCs w:val="28"/>
        </w:rPr>
        <w:t xml:space="preserve"> команди з адаптації.</w:t>
      </w:r>
    </w:p>
    <w:p w14:paraId="1D776D95" w14:textId="495E8C7E"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Суб’єкт надання послуг з адаптації інформує особу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про мету, методи та зміст процесу надання послуг, очікувані результати.</w:t>
      </w:r>
    </w:p>
    <w:p w14:paraId="09B3BE21" w14:textId="05C36DB5"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У разі згоди на отримання послуг з адаптації суб’єкт надання послуг з адаптації укладає з особою </w:t>
      </w:r>
      <w:r w:rsidR="00E219E3">
        <w:rPr>
          <w:rFonts w:ascii="Times New Roman" w:hAnsi="Times New Roman"/>
          <w:sz w:val="28"/>
          <w:szCs w:val="28"/>
        </w:rPr>
        <w:t>—</w:t>
      </w:r>
      <w:r w:rsidRPr="00957B1D">
        <w:rPr>
          <w:rFonts w:ascii="Times New Roman" w:hAnsi="Times New Roman"/>
          <w:sz w:val="28"/>
          <w:szCs w:val="28"/>
        </w:rPr>
        <w:t xml:space="preserve"> отримувачем послуг з адаптації угоду про надання послуг з адаптації.</w:t>
      </w:r>
    </w:p>
    <w:p w14:paraId="4F91B907" w14:textId="005EE0EA"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Фахівці, які залучені до надання послуг з адаптації, можуть входити до складу більш як однієї </w:t>
      </w:r>
      <w:proofErr w:type="spellStart"/>
      <w:r w:rsidRPr="00957B1D">
        <w:rPr>
          <w:rFonts w:ascii="Times New Roman" w:hAnsi="Times New Roman"/>
          <w:sz w:val="28"/>
          <w:szCs w:val="28"/>
        </w:rPr>
        <w:t>мультидисциплінарної</w:t>
      </w:r>
      <w:proofErr w:type="spellEnd"/>
      <w:r w:rsidRPr="00957B1D">
        <w:rPr>
          <w:rFonts w:ascii="Times New Roman" w:hAnsi="Times New Roman"/>
          <w:sz w:val="28"/>
          <w:szCs w:val="28"/>
        </w:rPr>
        <w:t xml:space="preserve"> команди з адаптації у разі забезпечення належного обсягу та якості послуги з адаптації для всіх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відсутності конфлікту інтересів та за умови дотримання встановленого робочого навантаження кейс-менеджером.</w:t>
      </w:r>
    </w:p>
    <w:p w14:paraId="24740E7F"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У період тимчасової відсутності члена </w:t>
      </w:r>
      <w:proofErr w:type="spellStart"/>
      <w:r w:rsidRPr="00957B1D">
        <w:rPr>
          <w:rFonts w:ascii="Times New Roman" w:hAnsi="Times New Roman"/>
          <w:sz w:val="28"/>
          <w:szCs w:val="28"/>
        </w:rPr>
        <w:t>мультидисциплінарної</w:t>
      </w:r>
      <w:proofErr w:type="spellEnd"/>
      <w:r w:rsidRPr="00957B1D">
        <w:rPr>
          <w:rFonts w:ascii="Times New Roman" w:hAnsi="Times New Roman"/>
          <w:sz w:val="28"/>
          <w:szCs w:val="28"/>
        </w:rPr>
        <w:t xml:space="preserve"> команди з адаптації у зв’язку з відпусткою, хворобою чи іншими обставинами, що зумовлюють тимчасову неможливість надання послуг, суб’єкт надання послуг з адаптації здійснює заміну відсутнього члена </w:t>
      </w:r>
      <w:proofErr w:type="spellStart"/>
      <w:r w:rsidRPr="00957B1D">
        <w:rPr>
          <w:rFonts w:ascii="Times New Roman" w:hAnsi="Times New Roman"/>
          <w:sz w:val="28"/>
          <w:szCs w:val="28"/>
        </w:rPr>
        <w:t>мультидисциплінарної</w:t>
      </w:r>
      <w:proofErr w:type="spellEnd"/>
      <w:r w:rsidRPr="00957B1D">
        <w:rPr>
          <w:rFonts w:ascii="Times New Roman" w:hAnsi="Times New Roman"/>
          <w:sz w:val="28"/>
          <w:szCs w:val="28"/>
        </w:rPr>
        <w:t xml:space="preserve"> команди з адаптації на фахівця з відповідною кваліфікацією на весь період такої відсутності.</w:t>
      </w:r>
    </w:p>
    <w:p w14:paraId="135CE685" w14:textId="5A097D16"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Для фіксації результатів надання послуг з адаптації суб’єкт надання послуг з адаптації веде таку документацію: індивідуальний план адаптації; картка супроводу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(далі </w:t>
      </w:r>
      <w:r w:rsidR="00E219E3">
        <w:rPr>
          <w:rFonts w:ascii="Times New Roman" w:hAnsi="Times New Roman"/>
          <w:sz w:val="28"/>
          <w:szCs w:val="28"/>
        </w:rPr>
        <w:t>—</w:t>
      </w:r>
      <w:r w:rsidRPr="00957B1D">
        <w:rPr>
          <w:rFonts w:ascii="Times New Roman" w:hAnsi="Times New Roman"/>
          <w:sz w:val="28"/>
          <w:szCs w:val="28"/>
        </w:rPr>
        <w:t xml:space="preserve"> картка); акт наданих послуг з адаптації (далі </w:t>
      </w:r>
      <w:r w:rsidR="00E219E3">
        <w:rPr>
          <w:rFonts w:ascii="Times New Roman" w:hAnsi="Times New Roman"/>
          <w:sz w:val="28"/>
          <w:szCs w:val="28"/>
        </w:rPr>
        <w:t>—</w:t>
      </w:r>
      <w:r w:rsidRPr="00957B1D">
        <w:rPr>
          <w:rFonts w:ascii="Times New Roman" w:hAnsi="Times New Roman"/>
          <w:sz w:val="28"/>
          <w:szCs w:val="28"/>
        </w:rPr>
        <w:t xml:space="preserve"> акт наданих послуг); звіт про надані послуги з адаптації (далі </w:t>
      </w:r>
      <w:r w:rsidR="00E219E3">
        <w:rPr>
          <w:rFonts w:ascii="Times New Roman" w:hAnsi="Times New Roman"/>
          <w:sz w:val="28"/>
          <w:szCs w:val="28"/>
        </w:rPr>
        <w:t>—</w:t>
      </w:r>
      <w:r w:rsidRPr="00957B1D">
        <w:rPr>
          <w:rFonts w:ascii="Times New Roman" w:hAnsi="Times New Roman"/>
          <w:sz w:val="28"/>
          <w:szCs w:val="28"/>
        </w:rPr>
        <w:t xml:space="preserve"> звіт про надані послуги).</w:t>
      </w:r>
    </w:p>
    <w:p w14:paraId="6E04419F"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Примірні форми індивідуального плану, картки та угоди про надання послуг з адаптації затверджуються Мінветеранів.</w:t>
      </w:r>
    </w:p>
    <w:p w14:paraId="345671A4" w14:textId="4FEA5D82"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lastRenderedPageBreak/>
        <w:t xml:space="preserve">Індивідуальний план адаптації складається за результатами діагностики/оцінки та співбесіди суб’єкта надання послуг з адаптації та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w:t>
      </w:r>
    </w:p>
    <w:p w14:paraId="7352643C" w14:textId="6E0F21B4"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Індивідуальний план адаптації складається відповідно до потреб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з урахуванням рекомендацій медичного висновку/обстеження (за наявності) та типової програми з адаптації та методичних рекомендації до неї.</w:t>
      </w:r>
    </w:p>
    <w:p w14:paraId="3ADC52D3" w14:textId="04185058"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Індивідуальний план адаптації складається в двох примірниках, один з яких залишається в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а другий </w:t>
      </w:r>
      <w:r w:rsidR="00E219E3">
        <w:rPr>
          <w:rFonts w:ascii="Times New Roman" w:hAnsi="Times New Roman"/>
          <w:sz w:val="28"/>
          <w:szCs w:val="28"/>
        </w:rPr>
        <w:t>—</w:t>
      </w:r>
      <w:r w:rsidRPr="00957B1D">
        <w:rPr>
          <w:rFonts w:ascii="Times New Roman" w:hAnsi="Times New Roman"/>
          <w:sz w:val="28"/>
          <w:szCs w:val="28"/>
        </w:rPr>
        <w:t xml:space="preserve"> долучається до картки.</w:t>
      </w:r>
    </w:p>
    <w:p w14:paraId="31623A66" w14:textId="24CB94AF"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Картка містить інформацію про результати обстежень (індивідуальні співбесіди з фахівцями та перевірка фізичного/психологічного стану)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та всі послуги з адаптації, які йому надавалися.</w:t>
      </w:r>
    </w:p>
    <w:p w14:paraId="20673B6A" w14:textId="5E2B127C"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У разі відмови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від певних або всіх видів послуг з адаптації суб’єкт надання послуг з адаптації робить відповідні відмітки в індивідуальному плані адаптації та картці.</w:t>
      </w:r>
    </w:p>
    <w:p w14:paraId="335F1B9D"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Після завершення періоду надання послуг з адаптації суб’єкт надання послуг з адаптації складає висновок-прогноз, який є складовою частиною картки.</w:t>
      </w:r>
    </w:p>
    <w:p w14:paraId="62B32229"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Висновок-прогноз містить інформацію про:</w:t>
      </w:r>
    </w:p>
    <w:p w14:paraId="0D326DB8" w14:textId="4BD7B951"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фактично надані послуги з адаптації та здійснені заходи, що дає змогу проаналізувати стан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до і після їх надання;</w:t>
      </w:r>
    </w:p>
    <w:p w14:paraId="62A7D1C1"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необхідність або доцільність продовження строку надання послуг з адаптації особі - отримувачу послуг з адаптації із зазначенням видів таких послуг, яких особа - отримувач послуг з адаптації потребуватиме надалі;</w:t>
      </w:r>
    </w:p>
    <w:p w14:paraId="5B26D5DE" w14:textId="7DEAE0AD"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відмову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від отримання послуг з адаптації;</w:t>
      </w:r>
    </w:p>
    <w:p w14:paraId="7BE7900B" w14:textId="23532719"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направлення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до іншого суб’єкта надання послуг з адаптації та підставу для такого направлення;</w:t>
      </w:r>
    </w:p>
    <w:p w14:paraId="7D8DF37F"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рекомендації щодо застосування в повсякденному житті навичок, отриманих у процесі надання послуг з адаптації.</w:t>
      </w:r>
    </w:p>
    <w:p w14:paraId="49C358EE"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Для звітування про фактично надані послуги з адаптації та здійснені заходи, визначені індивідуальним планом адаптації, щомісяця складається звіт про надані послуги, який містить інформацію за звітний період про загальний обсяг наданих послуг з адаптації за видами та рівнями їх надання.</w:t>
      </w:r>
    </w:p>
    <w:p w14:paraId="66377DCC"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Звіти про надані послуги подаються щомісяця до 5 числа місяця, що настає, замовнику послуг з адаптації.</w:t>
      </w:r>
    </w:p>
    <w:p w14:paraId="79E1E50E"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lastRenderedPageBreak/>
        <w:t>Складовою частиною звіту про надані послуги з адаптації є акт наданих послуг, який є підставою для проведення замовником послуг з адаптації розрахунків із суб’єктом надання послуг з адаптації.</w:t>
      </w:r>
    </w:p>
    <w:p w14:paraId="6A1D4424"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Відповідальність за достовірність даних, зазначених в у звіті про надані послуги та акті наданих послуг, несе суб’єкт надання послуг з адаптації.</w:t>
      </w:r>
    </w:p>
    <w:p w14:paraId="7FCC153B" w14:textId="77777777" w:rsidR="00C82AD7" w:rsidRPr="00957B1D" w:rsidRDefault="00C82AD7" w:rsidP="00C82AD7">
      <w:pPr>
        <w:shd w:val="clear" w:color="auto" w:fill="FFFFFF"/>
        <w:spacing w:before="120" w:after="0" w:line="240" w:lineRule="auto"/>
        <w:jc w:val="center"/>
        <w:rPr>
          <w:rFonts w:ascii="Times New Roman" w:hAnsi="Times New Roman"/>
          <w:sz w:val="28"/>
          <w:szCs w:val="28"/>
        </w:rPr>
      </w:pPr>
      <w:r w:rsidRPr="00957B1D">
        <w:rPr>
          <w:rFonts w:ascii="Times New Roman" w:hAnsi="Times New Roman"/>
          <w:sz w:val="28"/>
          <w:szCs w:val="28"/>
        </w:rPr>
        <w:t xml:space="preserve">Основні засади функціонування </w:t>
      </w:r>
    </w:p>
    <w:p w14:paraId="535777D0" w14:textId="77777777" w:rsidR="00C82AD7" w:rsidRPr="00957B1D" w:rsidRDefault="00C82AD7" w:rsidP="00C82AD7">
      <w:pPr>
        <w:shd w:val="clear" w:color="auto" w:fill="FFFFFF"/>
        <w:spacing w:after="0" w:line="240" w:lineRule="auto"/>
        <w:jc w:val="center"/>
        <w:rPr>
          <w:rFonts w:ascii="Times New Roman" w:hAnsi="Times New Roman"/>
          <w:sz w:val="28"/>
          <w:szCs w:val="28"/>
        </w:rPr>
      </w:pPr>
      <w:r w:rsidRPr="00957B1D">
        <w:rPr>
          <w:rFonts w:ascii="Times New Roman" w:hAnsi="Times New Roman"/>
          <w:sz w:val="28"/>
          <w:szCs w:val="28"/>
        </w:rPr>
        <w:t>першого рівня надання послуг з адаптації</w:t>
      </w:r>
    </w:p>
    <w:p w14:paraId="5D9C384F"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На першому рівні адаптації здійснюються такі заходи:</w:t>
      </w:r>
    </w:p>
    <w:p w14:paraId="4D290F0E"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1) підготовка індивідуального плану адаптації;</w:t>
      </w:r>
    </w:p>
    <w:p w14:paraId="3B337C8E"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2) початкове навчання орієнтуванню в просторі, особливостям самообслуговування та самостійності, а також комунікації за допомогою спеціальних додатків до телефону;</w:t>
      </w:r>
    </w:p>
    <w:p w14:paraId="413E1FB7"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3) навчання основам догляду за собою з урахуванням втрати зору; консультування щодо раннього використання допоміжних засобів (біла тростина, смартфон та інші засоби побутової адаптації) та інформування про доступні послуги з реабілітації, адаптації та соціальної підтримки;</w:t>
      </w:r>
    </w:p>
    <w:p w14:paraId="075377F1"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4) інформування членів сім’ї щодо особливостей догляду та супроводу;</w:t>
      </w:r>
    </w:p>
    <w:p w14:paraId="282CFE77"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5) надання допомоги в отриманні засобів лікування та забезпечення допоміжними засобами реабілітації та корекції зору (за потреби);</w:t>
      </w:r>
    </w:p>
    <w:p w14:paraId="612AF19F"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6) психологічна підтримка та супровід, який включає:</w:t>
      </w:r>
    </w:p>
    <w:p w14:paraId="47844B29" w14:textId="1A5E65A6"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7) діагностика психологічного стану, готовності та бажання до адаптації, особливостей і можливостей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w:t>
      </w:r>
    </w:p>
    <w:p w14:paraId="39443B09"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8) підбір психологічних заходів із урахуванням психологічного стану та психологічного благополуччя, навчальний і реабілітаційний прогноз;</w:t>
      </w:r>
    </w:p>
    <w:p w14:paraId="0999ABA1" w14:textId="4E4B3C0E"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9) сприяння своєчасному та якісному подоланню негативних поведінкових і емоційних наслідків втрати зору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шляхом реалізації комплексу заходів індивідуальної та групової роботи в залежності від результатів діагностики, спрямованих на подолання кризи особистості, усунення почуття неповноцінності, тривожних проявів, а також формування адекватного розуміння психологічних наслідків втрати зору, цілісних установок з усвідомленням своєї значущості і соціальної повноцінності;</w:t>
      </w:r>
    </w:p>
    <w:p w14:paraId="6759ED6B" w14:textId="72E7D93D"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10) забезпечення стійких позитивних змін у психоемоційній сфері та структурі особистості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w:t>
      </w:r>
    </w:p>
    <w:p w14:paraId="7FF608F8" w14:textId="01BFC45F"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11) формування адекватного ставлення членів сім’ї до втрати повністю або частково зору особою </w:t>
      </w:r>
      <w:r w:rsidR="00E219E3">
        <w:rPr>
          <w:rFonts w:ascii="Times New Roman" w:hAnsi="Times New Roman"/>
          <w:sz w:val="28"/>
          <w:szCs w:val="28"/>
        </w:rPr>
        <w:t>—</w:t>
      </w:r>
      <w:r w:rsidRPr="00957B1D">
        <w:rPr>
          <w:rFonts w:ascii="Times New Roman" w:hAnsi="Times New Roman"/>
          <w:sz w:val="28"/>
          <w:szCs w:val="28"/>
        </w:rPr>
        <w:t xml:space="preserve"> отримувачем послуг з адаптації;</w:t>
      </w:r>
    </w:p>
    <w:p w14:paraId="1CC30FE7"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12) оцінка ефективності проведених психологічних заходів і наданих послуг з адаптації.</w:t>
      </w:r>
    </w:p>
    <w:p w14:paraId="0245C380" w14:textId="7B5DCC9C"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lastRenderedPageBreak/>
        <w:t xml:space="preserve">Послуги з адаптації на першому рівні здійснюються закладами охорони здоров’я незалежно від форми власності та фізичними особами </w:t>
      </w:r>
      <w:r w:rsidR="00E219E3">
        <w:rPr>
          <w:rFonts w:ascii="Times New Roman" w:hAnsi="Times New Roman"/>
          <w:sz w:val="28"/>
          <w:szCs w:val="28"/>
        </w:rPr>
        <w:t>—</w:t>
      </w:r>
      <w:r w:rsidRPr="00957B1D">
        <w:rPr>
          <w:rFonts w:ascii="Times New Roman" w:hAnsi="Times New Roman"/>
          <w:sz w:val="28"/>
          <w:szCs w:val="28"/>
        </w:rPr>
        <w:t xml:space="preserve"> підприємцями, які одержали ліцензію на провадження господарської діяльності з медичної практики та уклали із НСЗУ договір про медичне обслуговування щодо послуг з адаптації (далі </w:t>
      </w:r>
      <w:r w:rsidR="00E219E3">
        <w:rPr>
          <w:rFonts w:ascii="Times New Roman" w:hAnsi="Times New Roman"/>
          <w:sz w:val="28"/>
          <w:szCs w:val="28"/>
        </w:rPr>
        <w:t>—</w:t>
      </w:r>
      <w:r w:rsidRPr="00957B1D">
        <w:rPr>
          <w:rFonts w:ascii="Times New Roman" w:hAnsi="Times New Roman"/>
          <w:sz w:val="28"/>
          <w:szCs w:val="28"/>
        </w:rPr>
        <w:t xml:space="preserve"> договір першого рівня), і мають укладений із НСЗУ договір про медичне обслуговування населення за програмою медичних гарантій за пакетом медичних послуг “Реабілітаційна допомога дорослим та дітям у стаціонарних умовах”, а саме </w:t>
      </w:r>
      <w:proofErr w:type="spellStart"/>
      <w:r w:rsidRPr="00957B1D">
        <w:rPr>
          <w:rFonts w:ascii="Times New Roman" w:hAnsi="Times New Roman"/>
          <w:sz w:val="28"/>
          <w:szCs w:val="28"/>
        </w:rPr>
        <w:t>мультидисциплінарними</w:t>
      </w:r>
      <w:proofErr w:type="spellEnd"/>
      <w:r w:rsidRPr="00957B1D">
        <w:rPr>
          <w:rFonts w:ascii="Times New Roman" w:hAnsi="Times New Roman"/>
          <w:sz w:val="28"/>
          <w:szCs w:val="28"/>
        </w:rPr>
        <w:t xml:space="preserve"> реабілітаційними командами, які надають реабілітаційну допомогу в палатах гострої реабілітації у закладах охорони здоров’я.</w:t>
      </w:r>
    </w:p>
    <w:p w14:paraId="4969A9EA" w14:textId="2D28B7A9"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Надання послуг з адаптації на першому рівні здійснюється відповідно до протоколу дій та клінічного маршруту лікування та/або реабілітації пацієнтів з повною втратою зору внаслідок бойових травм, затвердженого МОЗ за погодженням з Мінветеранів, Міноборони, МВС та СБУ (далі </w:t>
      </w:r>
      <w:r w:rsidR="00E219E3">
        <w:rPr>
          <w:rFonts w:ascii="Times New Roman" w:hAnsi="Times New Roman"/>
          <w:sz w:val="28"/>
          <w:szCs w:val="28"/>
        </w:rPr>
        <w:t>—</w:t>
      </w:r>
      <w:r w:rsidRPr="00957B1D">
        <w:rPr>
          <w:rFonts w:ascii="Times New Roman" w:hAnsi="Times New Roman"/>
          <w:sz w:val="28"/>
          <w:szCs w:val="28"/>
        </w:rPr>
        <w:t xml:space="preserve"> клінічний маршрут).</w:t>
      </w:r>
    </w:p>
    <w:p w14:paraId="75A85A7C" w14:textId="2B73687C" w:rsidR="00C82AD7" w:rsidRPr="00957B1D" w:rsidRDefault="00C82AD7" w:rsidP="00C82AD7">
      <w:pPr>
        <w:pStyle w:val="a5"/>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Для отримання послуги з адаптації першого рівня особа </w:t>
      </w:r>
      <w:r w:rsidR="00E219E3">
        <w:rPr>
          <w:rFonts w:ascii="Times New Roman" w:hAnsi="Times New Roman"/>
          <w:sz w:val="28"/>
          <w:szCs w:val="28"/>
        </w:rPr>
        <w:t>—</w:t>
      </w:r>
      <w:r w:rsidRPr="00957B1D">
        <w:rPr>
          <w:rFonts w:ascii="Times New Roman" w:hAnsi="Times New Roman"/>
          <w:sz w:val="28"/>
          <w:szCs w:val="28"/>
        </w:rPr>
        <w:t xml:space="preserve"> отримувач послуги з адаптації діє відповідно до клінічного маршруту.</w:t>
      </w:r>
    </w:p>
    <w:p w14:paraId="56A44E24"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Для суб’єктів надання послуг з адаптації, які уклали договір першого рівня, є обов’язковою реєстрація в електронній системі охорони здоров’я та внесення медичних записів до електронної системи охорони здоров’я відповідно до Порядку функціонування електронної системи охорони здоров’я, затвердженого постановою Кабінету Міністрів України від 25 квітня 2018 р. № 411 “Деякі питання електронної системи охорони здоров’я” (Офіційний вісник України, 2018 р., № 46, ст. 1604).</w:t>
      </w:r>
    </w:p>
    <w:p w14:paraId="7856A818" w14:textId="079AA7ED"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Суб’єкти надання послуг з адаптації на першому рівні забезпечують внесення даних до електронної системи охорони здоров’я про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без зазначення їх пільгової категорії.</w:t>
      </w:r>
    </w:p>
    <w:p w14:paraId="2F7BABF0"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НСЗУ укладає договори першого рівня строком до 1 грудня 2026 року із суб’єктами надання послуг з адаптації на першому рівні із використанням інформаційної системи НСЗУ.</w:t>
      </w:r>
    </w:p>
    <w:p w14:paraId="367FDC8C"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Оплата послуг для суб’єктів надання послуг з адаптації на першому рівні здійснюється на підставі звітів про надані послуги за договором першого рівня, що внесені суб’єктами надання послуг з адаптації до електронної системи охорони здоров’я.</w:t>
      </w:r>
    </w:p>
    <w:p w14:paraId="623CAFD6" w14:textId="41748480"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Оплата послуг за договором першого рівня здійснюється на підставі звітів </w:t>
      </w:r>
      <w:bookmarkStart w:id="0" w:name="_Hlk198902337"/>
      <w:r w:rsidRPr="00957B1D">
        <w:rPr>
          <w:rFonts w:ascii="Times New Roman" w:hAnsi="Times New Roman"/>
          <w:sz w:val="28"/>
          <w:szCs w:val="28"/>
        </w:rPr>
        <w:t>суб’єктів надання послуг з адаптації</w:t>
      </w:r>
      <w:bookmarkEnd w:id="0"/>
      <w:r w:rsidRPr="00957B1D">
        <w:rPr>
          <w:rFonts w:ascii="Times New Roman" w:hAnsi="Times New Roman"/>
          <w:sz w:val="28"/>
          <w:szCs w:val="28"/>
        </w:rPr>
        <w:t xml:space="preserve"> на їх рахунки, відкриті в установах банків або органах Казначейства. </w:t>
      </w:r>
    </w:p>
    <w:p w14:paraId="4D32A1CC"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Порядок і строки подання звітів суб’єктів надання послуг з адаптації, інформація, що включається до них, визначаються договором першого рівня.</w:t>
      </w:r>
    </w:p>
    <w:p w14:paraId="2A75EF05" w14:textId="64F8B702" w:rsidR="00C82AD7" w:rsidRPr="00957B1D" w:rsidRDefault="00C82AD7" w:rsidP="00C82AD7">
      <w:pPr>
        <w:spacing w:before="120" w:after="0" w:line="240" w:lineRule="auto"/>
        <w:ind w:firstLine="567"/>
        <w:jc w:val="both"/>
        <w:rPr>
          <w:rFonts w:ascii="Times New Roman" w:hAnsi="Times New Roman"/>
          <w:sz w:val="28"/>
          <w:szCs w:val="28"/>
        </w:rPr>
      </w:pPr>
      <w:bookmarkStart w:id="1" w:name="n41"/>
      <w:bookmarkEnd w:id="1"/>
      <w:r w:rsidRPr="00957B1D">
        <w:rPr>
          <w:rFonts w:ascii="Times New Roman" w:hAnsi="Times New Roman"/>
          <w:sz w:val="28"/>
          <w:szCs w:val="28"/>
        </w:rPr>
        <w:lastRenderedPageBreak/>
        <w:t xml:space="preserve">Оплата послуг здійснюється виключно першому суб’єкту надання послуг з адаптації, який відповідає встановленим критеріям у пакеті медичних послуг </w:t>
      </w:r>
      <w:r w:rsidRPr="00957B1D">
        <w:rPr>
          <w:rFonts w:ascii="Times New Roman" w:hAnsi="Times New Roman" w:cs="Times New Roman"/>
          <w:sz w:val="28"/>
          <w:szCs w:val="28"/>
        </w:rPr>
        <w:t>“</w:t>
      </w:r>
      <w:r w:rsidRPr="00957B1D">
        <w:rPr>
          <w:rFonts w:ascii="Times New Roman" w:hAnsi="Times New Roman"/>
          <w:sz w:val="28"/>
          <w:szCs w:val="28"/>
        </w:rPr>
        <w:t>Реабілітаційна допомога дорослим та дітям у стаціонарних умовах</w:t>
      </w:r>
      <w:r w:rsidRPr="00957B1D">
        <w:rPr>
          <w:rFonts w:ascii="Times New Roman" w:hAnsi="Times New Roman" w:cs="Times New Roman"/>
          <w:sz w:val="28"/>
          <w:szCs w:val="28"/>
        </w:rPr>
        <w:t>”</w:t>
      </w:r>
      <w:r w:rsidRPr="00957B1D">
        <w:rPr>
          <w:rFonts w:ascii="Times New Roman" w:hAnsi="Times New Roman"/>
          <w:sz w:val="28"/>
          <w:szCs w:val="28"/>
        </w:rPr>
        <w:t xml:space="preserve"> та фактично надав повну послугу з адаптації особі </w:t>
      </w:r>
      <w:r w:rsidR="00E219E3">
        <w:rPr>
          <w:rFonts w:ascii="Times New Roman" w:hAnsi="Times New Roman"/>
          <w:sz w:val="28"/>
          <w:szCs w:val="28"/>
        </w:rPr>
        <w:t>—</w:t>
      </w:r>
      <w:r w:rsidRPr="00957B1D">
        <w:rPr>
          <w:rFonts w:ascii="Times New Roman" w:hAnsi="Times New Roman"/>
          <w:sz w:val="28"/>
          <w:szCs w:val="28"/>
        </w:rPr>
        <w:t xml:space="preserve"> отримувачу послуг з адаптації згідно з розробленою індивідуальною програмою адаптації у відповідності до затвердженої Мінветеранів типової програми адаптації та методичних рекомендацій до неї.</w:t>
      </w:r>
    </w:p>
    <w:p w14:paraId="095F597A" w14:textId="123261CC"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Гранична вартість наданих послуг з адаптації одній особі </w:t>
      </w:r>
      <w:r w:rsidR="00E219E3">
        <w:rPr>
          <w:rFonts w:ascii="Times New Roman" w:hAnsi="Times New Roman"/>
          <w:sz w:val="28"/>
          <w:szCs w:val="28"/>
        </w:rPr>
        <w:t>—</w:t>
      </w:r>
      <w:r w:rsidRPr="00957B1D">
        <w:rPr>
          <w:rFonts w:ascii="Times New Roman" w:hAnsi="Times New Roman"/>
          <w:sz w:val="28"/>
          <w:szCs w:val="28"/>
        </w:rPr>
        <w:t xml:space="preserve"> отримувачу послуг з адаптації на першому рівні, що підлягають відшкодуванню за договором першого рівня, не може перевищувати 38 280,0 гривень у 2025 році та 41 572,08 гривень </w:t>
      </w:r>
      <w:r w:rsidR="00E219E3">
        <w:rPr>
          <w:rFonts w:ascii="Times New Roman" w:hAnsi="Times New Roman"/>
          <w:sz w:val="28"/>
          <w:szCs w:val="28"/>
        </w:rPr>
        <w:t>—</w:t>
      </w:r>
      <w:r w:rsidRPr="00957B1D">
        <w:rPr>
          <w:rFonts w:ascii="Times New Roman" w:hAnsi="Times New Roman"/>
          <w:sz w:val="28"/>
          <w:szCs w:val="28"/>
        </w:rPr>
        <w:t xml:space="preserve"> 2026 році (з урахуванням індексу споживчих цін).</w:t>
      </w:r>
    </w:p>
    <w:p w14:paraId="29F85BD0"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Суб’єкти надання послуг з адаптації вносять дані про надані послуги з адаптації до електронної системи охорони здоров’я в порядку, визначеному чинним законодавством.</w:t>
      </w:r>
    </w:p>
    <w:p w14:paraId="37E700C5"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Реєстрація в органах Казначейства бюджетних зобов’язань та бюджетних фінансових зобов’язань здійснюється на підставі поданих НСЗУ Реєстру бюджетних зобов’язань розпорядників (одержувачів) бюджетних коштів та Реєстру бюджетних фінансових зобов’язань розпорядників (одержувачів) бюджетних коштів, форми яких визначено Порядком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затвердженим наказом Мінфіну від 2 березня 2012 р. № 309.</w:t>
      </w:r>
    </w:p>
    <w:p w14:paraId="341566F9" w14:textId="3F0294A6"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НСЗУ щомісяця подає звіти Мінветеранів, МОЗ і Мінфіну про кількість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які отримали послуги відповідно до звітів суб’єктів надання послуг з адаптації.</w:t>
      </w:r>
    </w:p>
    <w:p w14:paraId="341C3D64"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Звіти подаються протягом 15 календарних днів після закінчення звітного періоду і містять інформацію про:</w:t>
      </w:r>
    </w:p>
    <w:p w14:paraId="3A6C047D" w14:textId="5DC9E1D2"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кількість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які отримали послуги протягом звітного періоду;</w:t>
      </w:r>
    </w:p>
    <w:p w14:paraId="5CF4FD1C"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обсяг використаних бюджетних коштів відповідно до договорів першого рівня, укладених між НСЗУ та суб’єктами надання послуг з адаптації.</w:t>
      </w:r>
    </w:p>
    <w:p w14:paraId="3D9F02E0"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НСЗУ оплачує надані послуги згідно з тарифом, визначеними пунктом 34 цього Порядку, на підставі звітів про надані послуги суб’єктів надання послуг з адаптації, складених на підставі інформації, яка внесена до інформаційної системи НСЗУ не пізніше десятого робочого дня після закінчення відповідного звітного періоду в порядку, визначеному відповідно до умов договору першого рівня.</w:t>
      </w:r>
    </w:p>
    <w:p w14:paraId="183E0DD7"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lastRenderedPageBreak/>
        <w:t>НСЗУ за результатом аналізу інформації в інформаційній системі НСЗУ щодо змін обсягу фактично наданих послуг порівняно із обсягом, передбаченим у договорі першого рівня, має право ініціювати внесення змін до цього договору та здійснювати коригування запланованої вартості послуг.</w:t>
      </w:r>
    </w:p>
    <w:p w14:paraId="1FA5A901" w14:textId="1B77BC5A"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Факт надання послуг протягом звітного періоду підтверджується внесенням даних до електронної системи охорони здоров’я про надані послуги, що </w:t>
      </w:r>
      <w:r w:rsidRPr="005359B8">
        <w:rPr>
          <w:rFonts w:ascii="Times New Roman" w:hAnsi="Times New Roman"/>
          <w:sz w:val="28"/>
          <w:szCs w:val="28"/>
        </w:rPr>
        <w:t xml:space="preserve">відповідають обсягу послуг, визначеному </w:t>
      </w:r>
      <w:r w:rsidRPr="009A5862">
        <w:rPr>
          <w:rFonts w:ascii="Times New Roman" w:hAnsi="Times New Roman"/>
          <w:sz w:val="28"/>
          <w:szCs w:val="28"/>
        </w:rPr>
        <w:t>специфікаці</w:t>
      </w:r>
      <w:r>
        <w:rPr>
          <w:rFonts w:ascii="Times New Roman" w:hAnsi="Times New Roman"/>
          <w:sz w:val="28"/>
          <w:szCs w:val="28"/>
        </w:rPr>
        <w:t>ями</w:t>
      </w:r>
      <w:r w:rsidRPr="009A5862">
        <w:rPr>
          <w:rFonts w:ascii="Times New Roman" w:hAnsi="Times New Roman"/>
          <w:sz w:val="28"/>
          <w:szCs w:val="28"/>
        </w:rPr>
        <w:t xml:space="preserve"> та умов</w:t>
      </w:r>
      <w:r>
        <w:rPr>
          <w:rFonts w:ascii="Times New Roman" w:hAnsi="Times New Roman"/>
          <w:sz w:val="28"/>
          <w:szCs w:val="28"/>
        </w:rPr>
        <w:t>ами</w:t>
      </w:r>
      <w:r w:rsidRPr="009A5862">
        <w:rPr>
          <w:rFonts w:ascii="Times New Roman" w:hAnsi="Times New Roman"/>
          <w:sz w:val="28"/>
          <w:szCs w:val="28"/>
        </w:rPr>
        <w:t xml:space="preserve"> закупівлі медичної послуги щодо надання послуг з адаптації</w:t>
      </w:r>
      <w:r w:rsidRPr="00957B1D">
        <w:rPr>
          <w:rFonts w:ascii="Times New Roman" w:hAnsi="Times New Roman"/>
          <w:sz w:val="28"/>
          <w:szCs w:val="28"/>
        </w:rPr>
        <w:t xml:space="preserve">, із зазначенням виду послуги, дати її надання та інформації про особу </w:t>
      </w:r>
      <w:r w:rsidR="00E219E3">
        <w:rPr>
          <w:rFonts w:ascii="Times New Roman" w:hAnsi="Times New Roman"/>
          <w:sz w:val="28"/>
          <w:szCs w:val="28"/>
        </w:rPr>
        <w:t>—</w:t>
      </w:r>
      <w:r w:rsidRPr="00957B1D">
        <w:rPr>
          <w:rFonts w:ascii="Times New Roman" w:hAnsi="Times New Roman"/>
          <w:sz w:val="28"/>
          <w:szCs w:val="28"/>
        </w:rPr>
        <w:t xml:space="preserve"> отримувача послуги з адаптації.</w:t>
      </w:r>
    </w:p>
    <w:p w14:paraId="3151522C" w14:textId="77777777" w:rsidR="00C82AD7" w:rsidRPr="00957B1D" w:rsidRDefault="00C82AD7" w:rsidP="00C82AD7">
      <w:pPr>
        <w:keepNext/>
        <w:shd w:val="clear" w:color="auto" w:fill="FFFFFF"/>
        <w:spacing w:before="120" w:after="0" w:line="240" w:lineRule="auto"/>
        <w:jc w:val="center"/>
        <w:rPr>
          <w:rFonts w:ascii="Times New Roman" w:hAnsi="Times New Roman"/>
          <w:sz w:val="28"/>
          <w:szCs w:val="28"/>
        </w:rPr>
      </w:pPr>
      <w:r w:rsidRPr="00957B1D">
        <w:rPr>
          <w:rFonts w:ascii="Times New Roman" w:hAnsi="Times New Roman"/>
          <w:sz w:val="28"/>
          <w:szCs w:val="28"/>
        </w:rPr>
        <w:t xml:space="preserve">Основні засади функціонування </w:t>
      </w:r>
      <w:r w:rsidRPr="00957B1D">
        <w:rPr>
          <w:rFonts w:ascii="Times New Roman" w:hAnsi="Times New Roman"/>
          <w:sz w:val="28"/>
          <w:szCs w:val="28"/>
        </w:rPr>
        <w:br/>
        <w:t>другого рівня надання послуг з адаптації</w:t>
      </w:r>
    </w:p>
    <w:p w14:paraId="17CA2E6A"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На другому рівні адаптації надаються такі послуги:</w:t>
      </w:r>
    </w:p>
    <w:p w14:paraId="42635679"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1) ознайомлення з рельєфно-крапковою системою Брайля та читанням рельєфних малюнків, що передбачає:</w:t>
      </w:r>
    </w:p>
    <w:p w14:paraId="77F9421C"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2) отримання знань і навичок про основи письма і читання шрифтом Брайля;</w:t>
      </w:r>
    </w:p>
    <w:p w14:paraId="306A2A6D"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3) розвиток тактильних </w:t>
      </w:r>
      <w:proofErr w:type="spellStart"/>
      <w:r w:rsidRPr="00957B1D">
        <w:rPr>
          <w:rFonts w:ascii="Times New Roman" w:hAnsi="Times New Roman"/>
          <w:sz w:val="28"/>
          <w:szCs w:val="28"/>
        </w:rPr>
        <w:t>відчуттів</w:t>
      </w:r>
      <w:proofErr w:type="spellEnd"/>
      <w:r w:rsidRPr="00957B1D">
        <w:rPr>
          <w:rFonts w:ascii="Times New Roman" w:hAnsi="Times New Roman"/>
          <w:sz w:val="28"/>
          <w:szCs w:val="28"/>
        </w:rPr>
        <w:t>, формування вміння користуватися дотиком в пізнавальній діяльності;</w:t>
      </w:r>
    </w:p>
    <w:p w14:paraId="73EA73FB"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4) забезпечення умов для формування навичок читання і письма, а також з натуральною і зображувальною наочністю;</w:t>
      </w:r>
    </w:p>
    <w:p w14:paraId="047062F7"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5) навчання читанню рельєфних малюнків і знайомство з реальним малюванням;</w:t>
      </w:r>
    </w:p>
    <w:p w14:paraId="66915E18"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6) формування навичок використання збережених аналізаторів для формування нових та уточнення раніше сформованих уявлень.</w:t>
      </w:r>
    </w:p>
    <w:p w14:paraId="71D399AE"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7) формування щоденних навичок самообслуговування, що передбачає набуття необхідних знань і </w:t>
      </w:r>
      <w:proofErr w:type="spellStart"/>
      <w:r w:rsidRPr="00957B1D">
        <w:rPr>
          <w:rFonts w:ascii="Times New Roman" w:hAnsi="Times New Roman"/>
          <w:sz w:val="28"/>
          <w:szCs w:val="28"/>
        </w:rPr>
        <w:t>компетентностей</w:t>
      </w:r>
      <w:proofErr w:type="spellEnd"/>
      <w:r w:rsidRPr="00957B1D">
        <w:rPr>
          <w:rFonts w:ascii="Times New Roman" w:hAnsi="Times New Roman"/>
          <w:sz w:val="28"/>
          <w:szCs w:val="28"/>
        </w:rPr>
        <w:t xml:space="preserve"> для здійснення організації домашнього побуту та приготування їжі, особистої гігієни, догляду за житлом, одягом та взуттям, освоєння спеціальних сервісів</w:t>
      </w:r>
      <w:r w:rsidRPr="00957B1D">
        <w:rPr>
          <w:rFonts w:ascii="Times New Roman" w:hAnsi="Times New Roman"/>
          <w:sz w:val="28"/>
        </w:rPr>
        <w:t>, удосконалення практичних навичок використання сервісів для осіб з інвалідністю в магазинах, на вокзалах, в аеропортах, інтернет доставки товарів тощо</w:t>
      </w:r>
      <w:r w:rsidRPr="00957B1D">
        <w:rPr>
          <w:rFonts w:ascii="Times New Roman" w:hAnsi="Times New Roman"/>
          <w:sz w:val="28"/>
          <w:szCs w:val="28"/>
        </w:rPr>
        <w:t>.</w:t>
      </w:r>
    </w:p>
    <w:p w14:paraId="5DBB95AE"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t>8) орієнтування в просторі, що передбачає:</w:t>
      </w:r>
    </w:p>
    <w:p w14:paraId="006A1C97"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8"/>
        </w:rPr>
      </w:pPr>
      <w:r w:rsidRPr="00957B1D">
        <w:rPr>
          <w:rFonts w:ascii="Times New Roman" w:hAnsi="Times New Roman" w:cs="Times New Roman"/>
          <w:sz w:val="28"/>
        </w:rPr>
        <w:t>діагностику знань та навичок та складання індивідуального плану занять;</w:t>
      </w:r>
    </w:p>
    <w:p w14:paraId="01D7814F"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t>стимулювання процесу компенсації втрачених зорових функцій та формування навичок активного та усвідомленого використання збережених аналізаторів для орієнтування в просторі;</w:t>
      </w:r>
    </w:p>
    <w:p w14:paraId="43886CDF"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t>формування координації руху, орієнтування відносно свого тіла та певної точки відліку;</w:t>
      </w:r>
    </w:p>
    <w:p w14:paraId="63C57CB0"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lastRenderedPageBreak/>
        <w:t>опанування спеціальних прийомів орієнтування в малому</w:t>
      </w:r>
      <w:r w:rsidRPr="00957B1D">
        <w:rPr>
          <w:rFonts w:ascii="Times New Roman" w:hAnsi="Times New Roman" w:cs="Times New Roman"/>
          <w:sz w:val="28"/>
        </w:rPr>
        <w:t xml:space="preserve"> та великому</w:t>
      </w:r>
      <w:r w:rsidRPr="00957B1D">
        <w:rPr>
          <w:rFonts w:ascii="Times New Roman" w:hAnsi="Times New Roman" w:cs="Times New Roman"/>
          <w:sz w:val="28"/>
          <w:szCs w:val="28"/>
        </w:rPr>
        <w:t xml:space="preserve"> просторі;</w:t>
      </w:r>
    </w:p>
    <w:p w14:paraId="2A4D5D15"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t xml:space="preserve">ознайомлення та використання </w:t>
      </w:r>
      <w:proofErr w:type="spellStart"/>
      <w:r w:rsidRPr="00957B1D">
        <w:rPr>
          <w:rFonts w:ascii="Times New Roman" w:hAnsi="Times New Roman" w:cs="Times New Roman"/>
          <w:sz w:val="28"/>
          <w:szCs w:val="28"/>
        </w:rPr>
        <w:t>тифлопристосувань</w:t>
      </w:r>
      <w:proofErr w:type="spellEnd"/>
      <w:r w:rsidRPr="00957B1D">
        <w:rPr>
          <w:rFonts w:ascii="Times New Roman" w:hAnsi="Times New Roman" w:cs="Times New Roman"/>
          <w:sz w:val="28"/>
          <w:szCs w:val="28"/>
        </w:rPr>
        <w:t xml:space="preserve"> та засобів для орієнтування в просторі;</w:t>
      </w:r>
    </w:p>
    <w:p w14:paraId="74F8ACBE" w14:textId="77777777" w:rsidR="00C82AD7" w:rsidRPr="00957B1D" w:rsidRDefault="00C82AD7" w:rsidP="00C82AD7">
      <w:pPr>
        <w:spacing w:before="120" w:after="0" w:line="240" w:lineRule="auto"/>
        <w:ind w:firstLine="567"/>
        <w:jc w:val="both"/>
        <w:rPr>
          <w:rFonts w:ascii="Times New Roman" w:hAnsi="Times New Roman" w:cs="Times New Roman"/>
          <w:sz w:val="28"/>
        </w:rPr>
      </w:pPr>
      <w:r w:rsidRPr="00957B1D">
        <w:rPr>
          <w:rFonts w:ascii="Times New Roman" w:hAnsi="Times New Roman" w:cs="Times New Roman"/>
          <w:sz w:val="28"/>
        </w:rPr>
        <w:t>базові техніки і прийоми орієнтування та пересування особи з білою тростиною та без неї;</w:t>
      </w:r>
    </w:p>
    <w:p w14:paraId="0307E51F" w14:textId="15A18653"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t xml:space="preserve">формування вмінь і навичок пересування з особою, яка супроводжує особу </w:t>
      </w:r>
      <w:r w:rsidR="00E219E3">
        <w:rPr>
          <w:rFonts w:ascii="Times New Roman" w:hAnsi="Times New Roman" w:cs="Times New Roman"/>
          <w:sz w:val="28"/>
          <w:szCs w:val="28"/>
        </w:rPr>
        <w:t>—</w:t>
      </w:r>
      <w:r w:rsidRPr="00957B1D">
        <w:rPr>
          <w:rFonts w:ascii="Times New Roman" w:hAnsi="Times New Roman" w:cs="Times New Roman"/>
          <w:sz w:val="28"/>
          <w:szCs w:val="28"/>
        </w:rPr>
        <w:t xml:space="preserve"> отримувача послуг з адаптації;</w:t>
      </w:r>
    </w:p>
    <w:p w14:paraId="60ED7F8C"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t>формування вмінь і навичок використання білої тростини для орієнтування у великому просторі;</w:t>
      </w:r>
    </w:p>
    <w:p w14:paraId="1242FAED" w14:textId="6815B2AB"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8"/>
          <w:szCs w:val="28"/>
        </w:rPr>
      </w:pPr>
      <w:r w:rsidRPr="00957B1D">
        <w:rPr>
          <w:rFonts w:ascii="Times New Roman" w:hAnsi="Times New Roman" w:cs="Times New Roman"/>
          <w:sz w:val="28"/>
          <w:szCs w:val="28"/>
        </w:rPr>
        <w:t xml:space="preserve">підвищення мобільності особи </w:t>
      </w:r>
      <w:r w:rsidR="00E219E3">
        <w:rPr>
          <w:rFonts w:ascii="Times New Roman" w:hAnsi="Times New Roman" w:cs="Times New Roman"/>
          <w:sz w:val="28"/>
          <w:szCs w:val="28"/>
        </w:rPr>
        <w:t>—</w:t>
      </w:r>
      <w:r w:rsidRPr="00957B1D">
        <w:rPr>
          <w:rFonts w:ascii="Times New Roman" w:hAnsi="Times New Roman" w:cs="Times New Roman"/>
          <w:sz w:val="28"/>
          <w:szCs w:val="28"/>
        </w:rPr>
        <w:t xml:space="preserve"> отримувача послуг з адаптації (вміння самостійно діяти в навколишньому середовищі за різних погодних умов);</w:t>
      </w:r>
    </w:p>
    <w:p w14:paraId="2EA11124"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8"/>
          <w:szCs w:val="24"/>
        </w:rPr>
      </w:pPr>
      <w:r w:rsidRPr="00957B1D">
        <w:rPr>
          <w:rFonts w:ascii="Times New Roman" w:hAnsi="Times New Roman" w:cs="Times New Roman"/>
          <w:sz w:val="28"/>
        </w:rPr>
        <w:t>формування вмінь та навичок користування транспортом;</w:t>
      </w:r>
    </w:p>
    <w:p w14:paraId="741B7102"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t xml:space="preserve">формування навичок словесного </w:t>
      </w:r>
      <w:proofErr w:type="spellStart"/>
      <w:r w:rsidRPr="00957B1D">
        <w:rPr>
          <w:rFonts w:ascii="Times New Roman" w:hAnsi="Times New Roman" w:cs="Times New Roman"/>
          <w:sz w:val="28"/>
          <w:szCs w:val="28"/>
        </w:rPr>
        <w:t>проговорювання</w:t>
      </w:r>
      <w:proofErr w:type="spellEnd"/>
      <w:r w:rsidRPr="00957B1D">
        <w:rPr>
          <w:rFonts w:ascii="Times New Roman" w:hAnsi="Times New Roman" w:cs="Times New Roman"/>
          <w:sz w:val="28"/>
          <w:szCs w:val="28"/>
        </w:rPr>
        <w:t xml:space="preserve"> маршруту та вміння переносити уявлення про вивчений простір на план;</w:t>
      </w:r>
    </w:p>
    <w:p w14:paraId="5BCB5F3F"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t>формування топографічних уявлень про місто (населений пункт) та його цілісне сприйняття;</w:t>
      </w:r>
    </w:p>
    <w:p w14:paraId="2411E81A" w14:textId="77777777" w:rsidR="00C82AD7" w:rsidRPr="00957B1D" w:rsidRDefault="00C82AD7" w:rsidP="00C82AD7">
      <w:pPr>
        <w:shd w:val="clear" w:color="auto" w:fill="FFFFFF"/>
        <w:spacing w:before="120" w:after="0" w:line="240" w:lineRule="auto"/>
        <w:ind w:firstLine="567"/>
        <w:jc w:val="both"/>
        <w:rPr>
          <w:rFonts w:ascii="Times New Roman" w:hAnsi="Times New Roman" w:cs="Times New Roman"/>
          <w:sz w:val="24"/>
          <w:szCs w:val="24"/>
        </w:rPr>
      </w:pPr>
      <w:r w:rsidRPr="00957B1D">
        <w:rPr>
          <w:rFonts w:ascii="Times New Roman" w:hAnsi="Times New Roman" w:cs="Times New Roman"/>
          <w:sz w:val="28"/>
          <w:szCs w:val="28"/>
        </w:rPr>
        <w:t>надання консультативної допомоги особі, яка супроводжує, з питань організації орієнтування на конкретних маршрутах;</w:t>
      </w:r>
    </w:p>
    <w:p w14:paraId="5E01FCB8"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9) використання </w:t>
      </w:r>
      <w:proofErr w:type="spellStart"/>
      <w:r w:rsidRPr="00957B1D">
        <w:rPr>
          <w:rFonts w:ascii="Times New Roman" w:hAnsi="Times New Roman"/>
          <w:sz w:val="28"/>
          <w:szCs w:val="28"/>
        </w:rPr>
        <w:t>асистивних</w:t>
      </w:r>
      <w:proofErr w:type="spellEnd"/>
      <w:r w:rsidRPr="00957B1D">
        <w:rPr>
          <w:rFonts w:ascii="Times New Roman" w:hAnsi="Times New Roman"/>
          <w:sz w:val="28"/>
          <w:szCs w:val="28"/>
        </w:rPr>
        <w:t xml:space="preserve"> засобів та сучасних інформаційних технологій, що забезпечують доступ до комунікації та інформації для осіб, що передбачає:</w:t>
      </w:r>
    </w:p>
    <w:p w14:paraId="0D48FF6E"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ознайомлення та навчання основним прийомам і технікам роботи з сучасними смарт-девайсами;</w:t>
      </w:r>
    </w:p>
    <w:p w14:paraId="447BD79B"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набуття навичок використання персонального комп’ютера та адаптивних комп’ютерних програм для комунікації, отримання інформації та роботи з нею;</w:t>
      </w:r>
    </w:p>
    <w:p w14:paraId="5E0B3B6F"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набуття навичок самостійного отримання онлайн послуг;</w:t>
      </w:r>
    </w:p>
    <w:p w14:paraId="6FF40144" w14:textId="3F8DA13D"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10) сприяння соціальній інтеграції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що створює передумови для їхньої подальшої перекваліфікації та працевлаштування передбачає надання інформації та консультування щодо можливостей навчання, перекваліфікації для подальшого працевлаштування;</w:t>
      </w:r>
    </w:p>
    <w:p w14:paraId="7EE175C6"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11) фізична реабілітація, ознайомлення з адаптивними видами спорту та рекреаційні заходи;</w:t>
      </w:r>
    </w:p>
    <w:p w14:paraId="2A7038AC" w14:textId="49E2CB4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12) психосоціальна допомога та супровід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та членів їх сімей, включаючи сімейні консультації, навчання методам подолання стресових, кризових ситуацій тощо.</w:t>
      </w:r>
    </w:p>
    <w:p w14:paraId="2E3AEF2F" w14:textId="5600F1F9"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lastRenderedPageBreak/>
        <w:t xml:space="preserve">Послуги з адаптації на другому рівні здійснюються стаціонарно реабілітаційними центрами (навчально-реабілітаційними центрами) незалежно від форми власності, а також фізичними особами </w:t>
      </w:r>
      <w:r w:rsidR="00E219E3">
        <w:rPr>
          <w:rFonts w:ascii="Times New Roman" w:hAnsi="Times New Roman"/>
          <w:sz w:val="28"/>
          <w:szCs w:val="28"/>
        </w:rPr>
        <w:t>—</w:t>
      </w:r>
      <w:r w:rsidRPr="00957B1D">
        <w:rPr>
          <w:rFonts w:ascii="Times New Roman" w:hAnsi="Times New Roman"/>
          <w:sz w:val="28"/>
          <w:szCs w:val="28"/>
        </w:rPr>
        <w:t xml:space="preserve"> підприємцями та громадськими організаціями. </w:t>
      </w:r>
    </w:p>
    <w:p w14:paraId="25F6A99B"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Для надання послуг з адаптації на другому рівні суб’єкт надання послуг з адаптації повинен відповідати критеріям якості, кваліфікації, компетентності та досвіду практичної роботи, які підтверджуються шляхом включення інформації про них до Переліку. </w:t>
      </w:r>
    </w:p>
    <w:p w14:paraId="02D55663"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Оцінка відповідності суб’єкта надання послуг з адаптації здійснюється за такими критеріями: </w:t>
      </w:r>
    </w:p>
    <w:p w14:paraId="4D5FB47C"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1) щодо якості надання послуг:</w:t>
      </w:r>
    </w:p>
    <w:p w14:paraId="6B9BCC71" w14:textId="772365AC"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наявність спеціалізованої матеріально-технічної бази, що відповідає ДБН В.2.2-40:2018 “</w:t>
      </w:r>
      <w:proofErr w:type="spellStart"/>
      <w:r w:rsidRPr="00957B1D">
        <w:rPr>
          <w:rFonts w:ascii="Times New Roman" w:hAnsi="Times New Roman"/>
          <w:sz w:val="28"/>
          <w:szCs w:val="28"/>
        </w:rPr>
        <w:t>Інклюзивність</w:t>
      </w:r>
      <w:proofErr w:type="spellEnd"/>
      <w:r w:rsidRPr="00957B1D">
        <w:rPr>
          <w:rFonts w:ascii="Times New Roman" w:hAnsi="Times New Roman"/>
          <w:sz w:val="28"/>
          <w:szCs w:val="28"/>
        </w:rPr>
        <w:t xml:space="preserve"> будівель і споруд. Основні положення”, ДСТУ ISO 23599:2017, ДСТУ ISO 17049:2017, санітарним нормам та вимогам доступності для осіб з порушеннями зору (включаючи тактильні направляючі, контрастні позначки, адаптовані санвузли, пандуси/ліфти) (далі </w:t>
      </w:r>
      <w:r w:rsidR="00E219E3">
        <w:rPr>
          <w:rFonts w:ascii="Times New Roman" w:hAnsi="Times New Roman"/>
          <w:sz w:val="28"/>
          <w:szCs w:val="28"/>
        </w:rPr>
        <w:t>—</w:t>
      </w:r>
      <w:r w:rsidRPr="00957B1D">
        <w:rPr>
          <w:rFonts w:ascii="Times New Roman" w:hAnsi="Times New Roman"/>
          <w:sz w:val="28"/>
          <w:szCs w:val="28"/>
        </w:rPr>
        <w:t xml:space="preserve"> затверджені стандарти та вимоги у сфері забезпечення доступності та </w:t>
      </w:r>
      <w:proofErr w:type="spellStart"/>
      <w:r w:rsidRPr="00957B1D">
        <w:rPr>
          <w:rFonts w:ascii="Times New Roman" w:hAnsi="Times New Roman"/>
          <w:sz w:val="28"/>
          <w:szCs w:val="28"/>
        </w:rPr>
        <w:t>інклюзивності</w:t>
      </w:r>
      <w:proofErr w:type="spellEnd"/>
      <w:r w:rsidRPr="00957B1D">
        <w:rPr>
          <w:rFonts w:ascii="Times New Roman" w:hAnsi="Times New Roman"/>
          <w:sz w:val="28"/>
          <w:szCs w:val="28"/>
        </w:rPr>
        <w:t xml:space="preserve">), а також забезпеченість спеціалізованим обладнанням та технічними засобами для навчання та реабілітації осіб з порушеннями зору; </w:t>
      </w:r>
    </w:p>
    <w:p w14:paraId="52FF0243" w14:textId="4204E0C9"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наявність внутрішніх стандартів, процедур та регламентів надання послуг, що охоплюють всі етапи роботи з особами </w:t>
      </w:r>
      <w:r w:rsidR="00E219E3">
        <w:rPr>
          <w:rFonts w:ascii="Times New Roman" w:hAnsi="Times New Roman"/>
          <w:sz w:val="28"/>
          <w:szCs w:val="28"/>
        </w:rPr>
        <w:t>—</w:t>
      </w:r>
      <w:r w:rsidRPr="00957B1D">
        <w:rPr>
          <w:rFonts w:ascii="Times New Roman" w:hAnsi="Times New Roman"/>
          <w:sz w:val="28"/>
          <w:szCs w:val="28"/>
        </w:rPr>
        <w:t xml:space="preserve"> отримувачами послуг з адаптації (система управління якістю); </w:t>
      </w:r>
    </w:p>
    <w:p w14:paraId="1C069DE2"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використання сучасних, науково обґрунтованих </w:t>
      </w:r>
      <w:proofErr w:type="spellStart"/>
      <w:r w:rsidRPr="00957B1D">
        <w:rPr>
          <w:rFonts w:ascii="Times New Roman" w:hAnsi="Times New Roman"/>
          <w:sz w:val="28"/>
          <w:szCs w:val="28"/>
        </w:rPr>
        <w:t>методик</w:t>
      </w:r>
      <w:proofErr w:type="spellEnd"/>
      <w:r w:rsidRPr="00957B1D">
        <w:rPr>
          <w:rFonts w:ascii="Times New Roman" w:hAnsi="Times New Roman"/>
          <w:sz w:val="28"/>
          <w:szCs w:val="28"/>
        </w:rPr>
        <w:t xml:space="preserve"> та програм адаптації, які визнані міжнародними практиками; </w:t>
      </w:r>
    </w:p>
    <w:p w14:paraId="44E39CE6" w14:textId="6B744E95"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наявність системи збору даних про ефективність послуг, динаміку покращення функціонального стану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(наприклад, за допомогою стандартизованих тестів, оцінок прогресу за Міжнародною класифікацією функціонування, обмежень життєдіяльності та здоров’я); </w:t>
      </w:r>
    </w:p>
    <w:p w14:paraId="6B070D6D" w14:textId="1EB0E5B5"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2) щодо кваліфікації та компетентності персоналу </w:t>
      </w:r>
      <w:r w:rsidR="00E219E3">
        <w:rPr>
          <w:rFonts w:ascii="Times New Roman" w:hAnsi="Times New Roman"/>
          <w:sz w:val="28"/>
          <w:szCs w:val="28"/>
        </w:rPr>
        <w:t>—</w:t>
      </w:r>
      <w:r w:rsidRPr="00957B1D">
        <w:rPr>
          <w:rFonts w:ascii="Times New Roman" w:hAnsi="Times New Roman"/>
          <w:sz w:val="28"/>
          <w:szCs w:val="28"/>
        </w:rPr>
        <w:t xml:space="preserve"> наявність у фахівців:</w:t>
      </w:r>
    </w:p>
    <w:p w14:paraId="089B01B1"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вищої освіти відповідного профілю, а також додаткових спеціалізацій та сертифікатів з адаптації осіб з порушеннями зору; </w:t>
      </w:r>
    </w:p>
    <w:p w14:paraId="3D9C96C7"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підтвердженого досвіду практичної роботи з особами з порушеннями зору не менше 2 років; </w:t>
      </w:r>
    </w:p>
    <w:p w14:paraId="3B5121F7"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підтвердження регулярного проходження курсів підвищення кваліфікації (не рідше раз на 3 роки) та участі у професійних заходах; </w:t>
      </w:r>
    </w:p>
    <w:p w14:paraId="3290DA1F" w14:textId="6FA033EC"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3) щодо досвіду практичної роботи суб’єкта </w:t>
      </w:r>
      <w:r w:rsidR="00E219E3">
        <w:rPr>
          <w:rFonts w:ascii="Times New Roman" w:hAnsi="Times New Roman"/>
          <w:sz w:val="28"/>
          <w:szCs w:val="28"/>
        </w:rPr>
        <w:t>—</w:t>
      </w:r>
      <w:r w:rsidRPr="00957B1D">
        <w:rPr>
          <w:rFonts w:ascii="Times New Roman" w:hAnsi="Times New Roman"/>
          <w:sz w:val="28"/>
          <w:szCs w:val="28"/>
        </w:rPr>
        <w:t xml:space="preserve"> підтверджений досвід діяльності у сфері реабілітації/адаптації осіб з порушеннями зору не менше </w:t>
      </w:r>
      <w:r w:rsidRPr="00957B1D">
        <w:rPr>
          <w:rFonts w:ascii="Times New Roman" w:hAnsi="Times New Roman"/>
          <w:sz w:val="28"/>
          <w:szCs w:val="28"/>
        </w:rPr>
        <w:lastRenderedPageBreak/>
        <w:t xml:space="preserve">2 років та надання документально підтвердженої інформації про кількість осіб з порушеннями зору, які успішно пройшли курс адаптації. </w:t>
      </w:r>
    </w:p>
    <w:p w14:paraId="7A0CA57C" w14:textId="1B5B389C"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Інформація про суб’єктів надання послуг з адаптації, які відповідають критеріям, визначеним пунктом 4</w:t>
      </w:r>
      <w:r w:rsidR="007E46F3">
        <w:rPr>
          <w:rFonts w:ascii="Times New Roman" w:hAnsi="Times New Roman"/>
          <w:sz w:val="28"/>
          <w:szCs w:val="28"/>
        </w:rPr>
        <w:t>4</w:t>
      </w:r>
      <w:r w:rsidRPr="00957B1D">
        <w:rPr>
          <w:rFonts w:ascii="Times New Roman" w:hAnsi="Times New Roman"/>
          <w:sz w:val="28"/>
          <w:szCs w:val="28"/>
        </w:rPr>
        <w:t xml:space="preserve"> цього Порядку, включається до Переліку, що є підставою для надання ними послуг з адаптації на другому рівні в обсягах та на умовах, передбачених цим Порядком.</w:t>
      </w:r>
    </w:p>
    <w:p w14:paraId="52357829"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Перелік ведеться з метою забезпечення збору, накопичення, захисту, обліку, відображення, оброблення реєстрових даних щодо суб’єктів надання послуг з адаптації та їх фахівців з надання послуг з адаптації (організаційно-правової форми господарювання; коду виду економічної діяльності (КВЕД) та банківських реквізитів; місцезнаходження/адреси задекларованого/зареєстрованого місця проживання (перебування); контактних даних; переліку послуги із адаптації; місця надання послуги; інформації про матеріально-технічне забезпечення суб’єкта надання послуг; інформації про окремий структурний підрозділ/команду, працівники якого виконують роботу на підставі трудового або цивільно-правового договору (за наявності) тощо).</w:t>
      </w:r>
    </w:p>
    <w:p w14:paraId="684FAF4F"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Об’єктами Переліку є інформація про:</w:t>
      </w:r>
    </w:p>
    <w:p w14:paraId="5405518D" w14:textId="1429A1DB"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фізичних осіб </w:t>
      </w:r>
      <w:r w:rsidR="00E219E3">
        <w:rPr>
          <w:rFonts w:ascii="Times New Roman" w:hAnsi="Times New Roman"/>
          <w:sz w:val="28"/>
          <w:szCs w:val="28"/>
        </w:rPr>
        <w:t>—</w:t>
      </w:r>
      <w:r w:rsidRPr="00957B1D">
        <w:rPr>
          <w:rFonts w:ascii="Times New Roman" w:hAnsi="Times New Roman"/>
          <w:sz w:val="28"/>
          <w:szCs w:val="28"/>
        </w:rPr>
        <w:t xml:space="preserve"> підприємців, юридичних осіб та фізичних осіб </w:t>
      </w:r>
      <w:r w:rsidR="00E219E3">
        <w:rPr>
          <w:rFonts w:ascii="Times New Roman" w:hAnsi="Times New Roman"/>
          <w:sz w:val="28"/>
          <w:szCs w:val="28"/>
        </w:rPr>
        <w:t>—</w:t>
      </w:r>
      <w:r w:rsidRPr="00957B1D">
        <w:rPr>
          <w:rFonts w:ascii="Times New Roman" w:hAnsi="Times New Roman"/>
          <w:sz w:val="28"/>
          <w:szCs w:val="28"/>
        </w:rPr>
        <w:t xml:space="preserve"> фахівців з надання послуг з адаптації другого рівня;</w:t>
      </w:r>
    </w:p>
    <w:p w14:paraId="6B165E9E"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сертифікати, ліцензії, інші документи дозвільного характеру щодо провадження діяльності з надання послуг з адаптації, зазначені у підпункті 2 пункту 44 цього Порядку;</w:t>
      </w:r>
    </w:p>
    <w:p w14:paraId="5438CFC7" w14:textId="6D01E71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матеріально-технічне забезпечення діяльності з провадження діяльності з надання послуг з адаптації відповідно до підпункту </w:t>
      </w:r>
      <w:r w:rsidR="00B20A6C">
        <w:rPr>
          <w:rFonts w:ascii="Times New Roman" w:hAnsi="Times New Roman"/>
          <w:sz w:val="28"/>
          <w:szCs w:val="28"/>
        </w:rPr>
        <w:t>1</w:t>
      </w:r>
      <w:r w:rsidRPr="00957B1D">
        <w:rPr>
          <w:rFonts w:ascii="Times New Roman" w:hAnsi="Times New Roman"/>
          <w:sz w:val="28"/>
          <w:szCs w:val="28"/>
        </w:rPr>
        <w:t xml:space="preserve"> пункту </w:t>
      </w:r>
      <w:r w:rsidR="00B20A6C">
        <w:rPr>
          <w:rFonts w:ascii="Times New Roman" w:hAnsi="Times New Roman"/>
          <w:sz w:val="28"/>
          <w:szCs w:val="28"/>
        </w:rPr>
        <w:t xml:space="preserve">44 </w:t>
      </w:r>
      <w:r w:rsidRPr="00957B1D">
        <w:rPr>
          <w:rFonts w:ascii="Times New Roman" w:hAnsi="Times New Roman"/>
          <w:sz w:val="28"/>
          <w:szCs w:val="28"/>
        </w:rPr>
        <w:t>цього Порядку.</w:t>
      </w:r>
    </w:p>
    <w:p w14:paraId="2287F337" w14:textId="6F0100FC"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Для включення до Переліку юридична особа, фізична особа </w:t>
      </w:r>
      <w:r w:rsidR="00E219E3">
        <w:rPr>
          <w:rFonts w:ascii="Times New Roman" w:hAnsi="Times New Roman"/>
          <w:sz w:val="28"/>
          <w:szCs w:val="28"/>
        </w:rPr>
        <w:t>—</w:t>
      </w:r>
      <w:r w:rsidRPr="00957B1D">
        <w:rPr>
          <w:rFonts w:ascii="Times New Roman" w:hAnsi="Times New Roman"/>
          <w:sz w:val="28"/>
          <w:szCs w:val="28"/>
        </w:rPr>
        <w:t xml:space="preserve"> підприємець подає Мінветеранів:</w:t>
      </w:r>
    </w:p>
    <w:p w14:paraId="548A4A5D" w14:textId="56B17654"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заяву про включення до Переліку за формою згідно з додатком 1, в якій зазначає інформацію про найменування юридичної особи та її організаційно-правову форму або прізвище, власне ім’я, по батькові (за наявності) фізичної особи </w:t>
      </w:r>
      <w:r w:rsidR="00E219E3">
        <w:rPr>
          <w:rFonts w:ascii="Times New Roman" w:hAnsi="Times New Roman"/>
          <w:sz w:val="28"/>
          <w:szCs w:val="28"/>
        </w:rPr>
        <w:t>—</w:t>
      </w:r>
      <w:r w:rsidRPr="00957B1D">
        <w:rPr>
          <w:rFonts w:ascii="Times New Roman" w:hAnsi="Times New Roman"/>
          <w:sz w:val="28"/>
          <w:szCs w:val="28"/>
        </w:rPr>
        <w:t xml:space="preserve"> підприємця, ідентифікаційний код згідно з ЄДРПОУ юридичної особи або реєстраційний номер облікової картки платника податків чи серію та номер паспорта громадянина України (для фізичної особи </w:t>
      </w:r>
      <w:r w:rsidR="00E219E3">
        <w:rPr>
          <w:rFonts w:ascii="Times New Roman" w:hAnsi="Times New Roman"/>
          <w:sz w:val="28"/>
          <w:szCs w:val="28"/>
        </w:rPr>
        <w:t>—</w:t>
      </w:r>
      <w:r w:rsidRPr="00957B1D">
        <w:rPr>
          <w:rFonts w:ascii="Times New Roman" w:hAnsi="Times New Roman"/>
          <w:sz w:val="28"/>
          <w:szCs w:val="28"/>
        </w:rPr>
        <w:t xml:space="preserve"> підприємця, яка через свої релігійні переконання відмовляється від прийняття реєстраційного номера облікової картки платника податків і має відмітку відповідного контролюючого органу в паспорті); місцезнаходження юридичної особи або фізичної особи </w:t>
      </w:r>
      <w:r w:rsidR="00E219E3">
        <w:rPr>
          <w:rFonts w:ascii="Times New Roman" w:hAnsi="Times New Roman"/>
          <w:sz w:val="28"/>
          <w:szCs w:val="28"/>
        </w:rPr>
        <w:t>—</w:t>
      </w:r>
      <w:r w:rsidRPr="00957B1D">
        <w:rPr>
          <w:rFonts w:ascii="Times New Roman" w:hAnsi="Times New Roman"/>
          <w:sz w:val="28"/>
          <w:szCs w:val="28"/>
        </w:rPr>
        <w:t xml:space="preserve"> підприємця; фактичну адресу надання послуг з адаптації (зазначається у разі, коли місце провадження підприємницької діяльності відрізняється від місцезнаходження юридичної особи або фізичної особи </w:t>
      </w:r>
      <w:r w:rsidR="00E219E3">
        <w:rPr>
          <w:rFonts w:ascii="Times New Roman" w:hAnsi="Times New Roman"/>
          <w:sz w:val="28"/>
          <w:szCs w:val="28"/>
        </w:rPr>
        <w:t>—</w:t>
      </w:r>
      <w:r w:rsidRPr="00957B1D">
        <w:rPr>
          <w:rFonts w:ascii="Times New Roman" w:hAnsi="Times New Roman"/>
          <w:sz w:val="28"/>
          <w:szCs w:val="28"/>
        </w:rPr>
        <w:t xml:space="preserve"> підприємця); </w:t>
      </w:r>
      <w:r w:rsidRPr="00957B1D">
        <w:rPr>
          <w:rFonts w:ascii="Times New Roman" w:hAnsi="Times New Roman"/>
          <w:sz w:val="28"/>
          <w:szCs w:val="28"/>
        </w:rPr>
        <w:lastRenderedPageBreak/>
        <w:t xml:space="preserve">номери контактних телефонів; адресу електронної пошти; адресу </w:t>
      </w:r>
      <w:proofErr w:type="spellStart"/>
      <w:r w:rsidR="00B20A6C">
        <w:rPr>
          <w:rFonts w:ascii="Times New Roman" w:hAnsi="Times New Roman"/>
          <w:sz w:val="28"/>
          <w:szCs w:val="28"/>
        </w:rPr>
        <w:t>вебсайту</w:t>
      </w:r>
      <w:proofErr w:type="spellEnd"/>
      <w:r w:rsidRPr="00957B1D">
        <w:rPr>
          <w:rFonts w:ascii="Times New Roman" w:hAnsi="Times New Roman"/>
          <w:sz w:val="28"/>
          <w:szCs w:val="28"/>
        </w:rPr>
        <w:t xml:space="preserve"> або іншого інформаційного ресурсу (за наявності) та довідку про те, що </w:t>
      </w:r>
      <w:proofErr w:type="spellStart"/>
      <w:r w:rsidR="00B20A6C">
        <w:rPr>
          <w:rFonts w:ascii="Times New Roman" w:hAnsi="Times New Roman"/>
          <w:sz w:val="28"/>
          <w:szCs w:val="28"/>
        </w:rPr>
        <w:t>вебсайт</w:t>
      </w:r>
      <w:proofErr w:type="spellEnd"/>
      <w:r w:rsidR="00B20A6C">
        <w:rPr>
          <w:rFonts w:ascii="Times New Roman" w:hAnsi="Times New Roman"/>
          <w:sz w:val="28"/>
          <w:szCs w:val="28"/>
        </w:rPr>
        <w:t xml:space="preserve"> </w:t>
      </w:r>
      <w:r w:rsidRPr="00957B1D">
        <w:rPr>
          <w:rFonts w:ascii="Times New Roman" w:hAnsi="Times New Roman"/>
          <w:sz w:val="28"/>
          <w:szCs w:val="28"/>
        </w:rPr>
        <w:t>відповідає ДСТУ ISO/IEC 40500:2015 “Інформаційні технології. Настанова з доступності веб-контенту W3C (WCAG) 2.0” не нижче рівня АА, або ДСТУ EN 301 549:2022 (EN 301 549 V3.2.1 (2021-03), IDT) “Інформаційні технології. Вимоги щодо доступності продуктів та послуг ІКТ”; банківські реквізити для перерахування бюджетних коштів;</w:t>
      </w:r>
    </w:p>
    <w:p w14:paraId="5853B344" w14:textId="5BAAB0DD"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перелік послуг з адаптації для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які надаватимуться відповідно до договору з суб’єктом надання послуг з адаптації, їх зміст та обсяг, умови і порядок отримання за формою згідно з додатком 2;</w:t>
      </w:r>
    </w:p>
    <w:p w14:paraId="1E111D9C"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інформацію та копії документів, що підтверджують відповідність кваліфікації фахівців суб’єкта надання послуг з адаптації вимогам, визначеним пунктом 44 цього Порядку, а саме: найменування посад та персональні дані фахівців (прізвище, власне ім’я, по батькові (за наявності), освіта/кваліфікація, стаж роботи за фахом, інформація про післядипломну освіту, атестацію, формальне та/або неформальне професійне навчання, та інформацію про включення відомостей про них до Переліку;</w:t>
      </w:r>
    </w:p>
    <w:p w14:paraId="11A99E5A"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інформацію про наявність кабінету (кабінетів) для надання індивідуальної/групової послуги з адаптації та про рівень забезпечення доступності даного приміщення та будівлі для осіб з інвалідністю та інших маломобільних груп населення відповідно до затверджених стандартів та вимог у сфері забезпечення доступності та </w:t>
      </w:r>
      <w:proofErr w:type="spellStart"/>
      <w:r w:rsidRPr="00957B1D">
        <w:rPr>
          <w:rFonts w:ascii="Times New Roman" w:hAnsi="Times New Roman"/>
          <w:sz w:val="28"/>
          <w:szCs w:val="28"/>
        </w:rPr>
        <w:t>інклюзивності</w:t>
      </w:r>
      <w:proofErr w:type="spellEnd"/>
      <w:r w:rsidRPr="00957B1D">
        <w:rPr>
          <w:rFonts w:ascii="Times New Roman" w:hAnsi="Times New Roman"/>
          <w:sz w:val="28"/>
          <w:szCs w:val="28"/>
        </w:rPr>
        <w:t>.</w:t>
      </w:r>
    </w:p>
    <w:p w14:paraId="332C8A69"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Суб’єкти надання послуг з адаптації додатково подають інформацію про наявність структурного підрозділу або команди фахівців, які забезпечують надання </w:t>
      </w:r>
      <w:proofErr w:type="spellStart"/>
      <w:r w:rsidRPr="00957B1D">
        <w:rPr>
          <w:rFonts w:ascii="Times New Roman" w:hAnsi="Times New Roman"/>
          <w:sz w:val="28"/>
          <w:szCs w:val="28"/>
        </w:rPr>
        <w:t>мультидисциплінарними</w:t>
      </w:r>
      <w:proofErr w:type="spellEnd"/>
      <w:r w:rsidRPr="00957B1D">
        <w:rPr>
          <w:rFonts w:ascii="Times New Roman" w:hAnsi="Times New Roman"/>
          <w:sz w:val="28"/>
          <w:szCs w:val="28"/>
        </w:rPr>
        <w:t xml:space="preserve"> командами з адаптації комплексних послуг з адаптації.</w:t>
      </w:r>
    </w:p>
    <w:p w14:paraId="4EC69BF6" w14:textId="0C6D41E9"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Заяви з необхідними документами приймаються у разі надсилання їх засобами поштового зв’язку або за наявності технічної можливості в електронній формі (через офіційний </w:t>
      </w:r>
      <w:proofErr w:type="spellStart"/>
      <w:r w:rsidR="00B20A6C">
        <w:rPr>
          <w:rFonts w:ascii="Times New Roman" w:hAnsi="Times New Roman"/>
          <w:sz w:val="28"/>
          <w:szCs w:val="28"/>
        </w:rPr>
        <w:t>вебсайт</w:t>
      </w:r>
      <w:proofErr w:type="spellEnd"/>
      <w:r w:rsidR="00B20A6C">
        <w:rPr>
          <w:rFonts w:ascii="Times New Roman" w:hAnsi="Times New Roman"/>
          <w:sz w:val="28"/>
          <w:szCs w:val="28"/>
        </w:rPr>
        <w:t xml:space="preserve"> </w:t>
      </w:r>
      <w:r w:rsidRPr="00957B1D">
        <w:rPr>
          <w:rFonts w:ascii="Times New Roman" w:hAnsi="Times New Roman"/>
          <w:sz w:val="28"/>
          <w:szCs w:val="28"/>
        </w:rPr>
        <w:t xml:space="preserve">Мінветеранів, інтегровані з ним інформаційні системи органів виконавчої влади та органів місцевого самоврядування або Єдиний державний </w:t>
      </w:r>
      <w:proofErr w:type="spellStart"/>
      <w:r w:rsidRPr="00957B1D">
        <w:rPr>
          <w:rFonts w:ascii="Times New Roman" w:hAnsi="Times New Roman"/>
          <w:sz w:val="28"/>
          <w:szCs w:val="28"/>
        </w:rPr>
        <w:t>вебпортал</w:t>
      </w:r>
      <w:proofErr w:type="spellEnd"/>
      <w:r w:rsidRPr="00957B1D">
        <w:rPr>
          <w:rFonts w:ascii="Times New Roman" w:hAnsi="Times New Roman"/>
          <w:sz w:val="28"/>
          <w:szCs w:val="28"/>
        </w:rPr>
        <w:t xml:space="preserve"> електронних послуг).</w:t>
      </w:r>
    </w:p>
    <w:p w14:paraId="345A0096"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Мінветеранів у строк, що не перевищує десяти календарних днів із дати надходження заяви разом із документами від суб’єкта надання послуг з адаптації, здійснює їх розгляд та приймає одне з рішень: про включення суб’єкта надання послуг з адаптації до Переліку, про відмову у включенні, або про необхідність внесення коригувань та змін до заяви (з наданням аргументованої відповіді). </w:t>
      </w:r>
    </w:p>
    <w:p w14:paraId="7BD55A9F"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Про прийняте рішення Мінветеранів інформує суб’єкта надання послуг з адаптації протягом трьох робочих днів після його ухвалення шляхом надсилання повідомлення на зазначену в заяві суб’єкта надання послуг з адаптації адресу електронної пошти або його поштову адресу.</w:t>
      </w:r>
    </w:p>
    <w:p w14:paraId="430287B0" w14:textId="4E668FC8"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lastRenderedPageBreak/>
        <w:t xml:space="preserve">Відомості про суб’єктів надання послуг з адаптації, включених до Переліку, оприлюднюються протягом трьох робочих днів на офіційному </w:t>
      </w:r>
      <w:proofErr w:type="spellStart"/>
      <w:r w:rsidRPr="00957B1D">
        <w:rPr>
          <w:rFonts w:ascii="Times New Roman" w:hAnsi="Times New Roman"/>
          <w:sz w:val="28"/>
          <w:szCs w:val="28"/>
        </w:rPr>
        <w:t>вебсайті</w:t>
      </w:r>
      <w:proofErr w:type="spellEnd"/>
      <w:r w:rsidRPr="00957B1D">
        <w:rPr>
          <w:rFonts w:ascii="Times New Roman" w:hAnsi="Times New Roman"/>
          <w:sz w:val="28"/>
          <w:szCs w:val="28"/>
        </w:rPr>
        <w:t xml:space="preserve"> Мінветеранів, а також розміщуються та оновлюються на Єдиному державному </w:t>
      </w:r>
      <w:proofErr w:type="spellStart"/>
      <w:r w:rsidR="00B20A6C">
        <w:rPr>
          <w:rFonts w:ascii="Times New Roman" w:hAnsi="Times New Roman"/>
          <w:sz w:val="28"/>
          <w:szCs w:val="28"/>
        </w:rPr>
        <w:t>вебпортал</w:t>
      </w:r>
      <w:r w:rsidRPr="00957B1D">
        <w:rPr>
          <w:rFonts w:ascii="Times New Roman" w:hAnsi="Times New Roman"/>
          <w:sz w:val="28"/>
          <w:szCs w:val="28"/>
        </w:rPr>
        <w:t>і</w:t>
      </w:r>
      <w:proofErr w:type="spellEnd"/>
      <w:r w:rsidRPr="00957B1D">
        <w:rPr>
          <w:rFonts w:ascii="Times New Roman" w:hAnsi="Times New Roman"/>
          <w:sz w:val="28"/>
          <w:szCs w:val="28"/>
        </w:rPr>
        <w:t xml:space="preserve"> відкритих даних.</w:t>
      </w:r>
    </w:p>
    <w:p w14:paraId="531C4394"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Суб’єкт надання послуг з адаптації після включення до Переліку повідомляє Мінветеранів про будь-які зміни в його облікових даних, зокрема зміни в кадровому складі фахівців чи матеріально-технічному забезпеченні, що можуть призвести до невідповідності суб’єкта надання послуг з адаптації вимогам, визначеним цим Порядком, протягом п’яти робочих днів з дня їх виникнення з наданням документів, що підтверджують такі зміни, із зазначенням дати, характеру та підстав для зміни таких даних.</w:t>
      </w:r>
    </w:p>
    <w:p w14:paraId="7E595A08"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Мінветеранів приймає рішення про виключення суб’єкта надання послуг з адаптації із Переліку у разі:</w:t>
      </w:r>
    </w:p>
    <w:p w14:paraId="44DFD9DF"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надходження заяви суб’єкта надання послуг з адаптації;</w:t>
      </w:r>
    </w:p>
    <w:p w14:paraId="5AB60851"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зміни в кадровому складі фахівців чи матеріально-технічному забезпеченні, що призвели до невідповідності суб’єкта надання послуг з адаптації вимогам, визначеним цьому Порядку;</w:t>
      </w:r>
    </w:p>
    <w:p w14:paraId="1469F022"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встановлення факту неналежного надання послуг з адаптації, зокрема порушення умов договору про відшкодування вартості наданих послуг з адаптації або надання суб’єктом надання послуг з адаптації недостовірної інформації про надані послуги, що підтверджено актом перевірки, проведеної Мінветеранів відповідно до порядку, передбаченому договором, або результатами щорічної оцінки якості послуг;</w:t>
      </w:r>
    </w:p>
    <w:p w14:paraId="3F2E00A0"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відмови суб’єкта надання послуг з адаптації від проведення перевірки Мінветеранів відповідно до порядку, передбаченого договором, зокрема недопущення до перевірки та/або ненадання відповідних матеріалів і документів;</w:t>
      </w:r>
    </w:p>
    <w:p w14:paraId="62DABD69"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припинення діяльності суб’єкта надання послуг з адаптації або набрання законної сили судовим рішенням щодо заборони провадити відповідну діяльність.</w:t>
      </w:r>
    </w:p>
    <w:p w14:paraId="7CA14353" w14:textId="1D7443AD"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На підставі рішення про включення суб’єкта надання послуг з адаптації до Переліку Мінветеранів укладає з таким суб’єктом надання послуг договір про відшкодування вартості наданих послуг з адаптації (далі </w:t>
      </w:r>
      <w:r w:rsidR="00E219E3">
        <w:rPr>
          <w:rFonts w:ascii="Times New Roman" w:hAnsi="Times New Roman"/>
          <w:sz w:val="28"/>
          <w:szCs w:val="28"/>
        </w:rPr>
        <w:t>—</w:t>
      </w:r>
      <w:r w:rsidRPr="00957B1D">
        <w:rPr>
          <w:rFonts w:ascii="Times New Roman" w:hAnsi="Times New Roman"/>
          <w:sz w:val="28"/>
          <w:szCs w:val="28"/>
        </w:rPr>
        <w:t xml:space="preserve"> договір другого рівня).</w:t>
      </w:r>
    </w:p>
    <w:p w14:paraId="51A0D3B8"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Відшкодування вартості наданих послуг суб’єктам надання послуг з адаптації на другому рівні здійснюється на підставі звітів про надані послуги за договором другого рівня, що подані до Мінветеранів суб’єктами надання послуг з адаптації.</w:t>
      </w:r>
    </w:p>
    <w:p w14:paraId="21E70A65" w14:textId="26F738F2"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Гранична вартість наданих послуг з адаптації одній особі </w:t>
      </w:r>
      <w:r w:rsidR="00E219E3">
        <w:rPr>
          <w:rFonts w:ascii="Times New Roman" w:hAnsi="Times New Roman"/>
          <w:sz w:val="28"/>
          <w:szCs w:val="28"/>
        </w:rPr>
        <w:t>—</w:t>
      </w:r>
      <w:r w:rsidRPr="00957B1D">
        <w:rPr>
          <w:rFonts w:ascii="Times New Roman" w:hAnsi="Times New Roman"/>
          <w:sz w:val="28"/>
          <w:szCs w:val="28"/>
        </w:rPr>
        <w:t xml:space="preserve"> отримувачу послуг з адаптації на другому рівні, що підлягають </w:t>
      </w:r>
      <w:r w:rsidRPr="00957B1D">
        <w:rPr>
          <w:rFonts w:ascii="Times New Roman" w:hAnsi="Times New Roman"/>
          <w:sz w:val="28"/>
          <w:szCs w:val="28"/>
        </w:rPr>
        <w:lastRenderedPageBreak/>
        <w:t>відшкодуванню за договором другого рівня, визначається залежно від тривалості та умов надання послуг, а саме:</w:t>
      </w:r>
    </w:p>
    <w:p w14:paraId="37868249" w14:textId="3029F850"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для послуг тривалістю 21 день </w:t>
      </w:r>
      <w:r w:rsidR="00E219E3">
        <w:rPr>
          <w:rFonts w:ascii="Times New Roman" w:hAnsi="Times New Roman"/>
          <w:sz w:val="28"/>
          <w:szCs w:val="28"/>
        </w:rPr>
        <w:t>—</w:t>
      </w:r>
      <w:r w:rsidRPr="00957B1D">
        <w:rPr>
          <w:rFonts w:ascii="Times New Roman" w:hAnsi="Times New Roman"/>
          <w:sz w:val="28"/>
          <w:szCs w:val="28"/>
        </w:rPr>
        <w:t xml:space="preserve"> не може перевищувати </w:t>
      </w:r>
      <w:r w:rsidRPr="00957B1D">
        <w:rPr>
          <w:rFonts w:ascii="Times New Roman" w:hAnsi="Times New Roman"/>
          <w:sz w:val="28"/>
        </w:rPr>
        <w:t>38 076,01 </w:t>
      </w:r>
      <w:r w:rsidRPr="00957B1D">
        <w:rPr>
          <w:rFonts w:ascii="Times New Roman" w:hAnsi="Times New Roman"/>
          <w:sz w:val="28"/>
          <w:szCs w:val="28"/>
        </w:rPr>
        <w:t xml:space="preserve">гривень у 2025 році та 41 350,95 гривень </w:t>
      </w:r>
      <w:r w:rsidR="00E219E3">
        <w:rPr>
          <w:rFonts w:ascii="Times New Roman" w:hAnsi="Times New Roman"/>
          <w:sz w:val="28"/>
          <w:szCs w:val="28"/>
        </w:rPr>
        <w:t>—</w:t>
      </w:r>
      <w:r w:rsidRPr="00957B1D">
        <w:rPr>
          <w:rFonts w:ascii="Times New Roman" w:hAnsi="Times New Roman"/>
          <w:sz w:val="28"/>
          <w:szCs w:val="28"/>
        </w:rPr>
        <w:t xml:space="preserve"> 2026 році (з урахуванням індексу споживчих цін), якщо послуги надаються без відповідного розміщення та організації харчування, або 61 825,96 гривень у 2025 році та 65 518,0 гривень </w:t>
      </w:r>
      <w:r w:rsidR="00E219E3">
        <w:rPr>
          <w:rFonts w:ascii="Times New Roman" w:hAnsi="Times New Roman"/>
          <w:sz w:val="28"/>
          <w:szCs w:val="28"/>
        </w:rPr>
        <w:t>—</w:t>
      </w:r>
      <w:r w:rsidRPr="00957B1D">
        <w:rPr>
          <w:rFonts w:ascii="Times New Roman" w:hAnsi="Times New Roman"/>
          <w:sz w:val="28"/>
          <w:szCs w:val="28"/>
        </w:rPr>
        <w:t xml:space="preserve"> 2026 році (з урахуванням індексу споживчих цін), якщо послуги надаються з відповідним розміщенням та організацією харчування;</w:t>
      </w:r>
    </w:p>
    <w:p w14:paraId="3E40E9D6" w14:textId="59D3DFE2"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для послуг тривалістю 56 днів </w:t>
      </w:r>
      <w:r w:rsidR="00E219E3">
        <w:rPr>
          <w:rFonts w:ascii="Times New Roman" w:hAnsi="Times New Roman"/>
          <w:sz w:val="28"/>
          <w:szCs w:val="28"/>
        </w:rPr>
        <w:t>—</w:t>
      </w:r>
      <w:r w:rsidRPr="00957B1D">
        <w:rPr>
          <w:rFonts w:ascii="Times New Roman" w:hAnsi="Times New Roman"/>
          <w:sz w:val="28"/>
          <w:szCs w:val="28"/>
        </w:rPr>
        <w:t xml:space="preserve"> не може перевищувати </w:t>
      </w:r>
      <w:r w:rsidRPr="00957B1D">
        <w:rPr>
          <w:rFonts w:ascii="Times New Roman" w:hAnsi="Times New Roman"/>
          <w:sz w:val="28"/>
        </w:rPr>
        <w:t>102 012,13 </w:t>
      </w:r>
      <w:r w:rsidRPr="00957B1D">
        <w:rPr>
          <w:rFonts w:ascii="Times New Roman" w:hAnsi="Times New Roman"/>
          <w:sz w:val="28"/>
          <w:szCs w:val="28"/>
        </w:rPr>
        <w:t>гривень у 2025 році та 110 785,17</w:t>
      </w:r>
      <w:r w:rsidRPr="00957B1D">
        <w:rPr>
          <w:rFonts w:ascii="Times New Roman" w:hAnsi="Times New Roman"/>
          <w:sz w:val="28"/>
          <w:szCs w:val="28"/>
          <w:lang w:val="ru-RU"/>
        </w:rPr>
        <w:t> </w:t>
      </w:r>
      <w:r w:rsidRPr="00957B1D">
        <w:rPr>
          <w:rFonts w:ascii="Times New Roman" w:hAnsi="Times New Roman"/>
          <w:sz w:val="28"/>
          <w:szCs w:val="28"/>
        </w:rPr>
        <w:t xml:space="preserve">гривень </w:t>
      </w:r>
      <w:r w:rsidR="00E219E3">
        <w:rPr>
          <w:rFonts w:ascii="Times New Roman" w:hAnsi="Times New Roman"/>
          <w:sz w:val="28"/>
          <w:szCs w:val="28"/>
        </w:rPr>
        <w:t>—</w:t>
      </w:r>
      <w:r w:rsidRPr="00957B1D">
        <w:rPr>
          <w:rFonts w:ascii="Times New Roman" w:hAnsi="Times New Roman"/>
          <w:sz w:val="28"/>
          <w:szCs w:val="28"/>
        </w:rPr>
        <w:t xml:space="preserve"> 2026 році (з урахуванням індексу споживчих цін), якщо послуги надаються без відповідного розміщення та організації харчування, або 165</w:t>
      </w:r>
      <w:r w:rsidRPr="00957B1D">
        <w:rPr>
          <w:rFonts w:ascii="Times New Roman" w:hAnsi="Times New Roman"/>
          <w:sz w:val="28"/>
          <w:szCs w:val="28"/>
          <w:lang w:val="ru-RU"/>
        </w:rPr>
        <w:t> </w:t>
      </w:r>
      <w:r w:rsidRPr="00957B1D">
        <w:rPr>
          <w:rFonts w:ascii="Times New Roman" w:hAnsi="Times New Roman"/>
          <w:sz w:val="28"/>
          <w:szCs w:val="28"/>
        </w:rPr>
        <w:t>345,33</w:t>
      </w:r>
      <w:r w:rsidRPr="00957B1D">
        <w:rPr>
          <w:rFonts w:ascii="Times New Roman" w:hAnsi="Times New Roman"/>
          <w:sz w:val="28"/>
          <w:szCs w:val="28"/>
          <w:lang w:val="ru-RU"/>
        </w:rPr>
        <w:t> </w:t>
      </w:r>
      <w:r w:rsidRPr="00957B1D">
        <w:rPr>
          <w:rFonts w:ascii="Times New Roman" w:hAnsi="Times New Roman"/>
          <w:sz w:val="28"/>
          <w:szCs w:val="28"/>
        </w:rPr>
        <w:t>гривень у 2025 році та 175</w:t>
      </w:r>
      <w:r w:rsidRPr="00957B1D">
        <w:rPr>
          <w:rFonts w:ascii="Times New Roman" w:hAnsi="Times New Roman"/>
          <w:sz w:val="28"/>
          <w:szCs w:val="28"/>
          <w:lang w:val="ru-RU"/>
        </w:rPr>
        <w:t> </w:t>
      </w:r>
      <w:r w:rsidRPr="00957B1D">
        <w:rPr>
          <w:rFonts w:ascii="Times New Roman" w:hAnsi="Times New Roman"/>
          <w:sz w:val="28"/>
          <w:szCs w:val="28"/>
        </w:rPr>
        <w:t xml:space="preserve">230,63 гривень </w:t>
      </w:r>
      <w:r w:rsidR="00E219E3">
        <w:rPr>
          <w:rFonts w:ascii="Times New Roman" w:hAnsi="Times New Roman"/>
          <w:sz w:val="28"/>
          <w:szCs w:val="28"/>
        </w:rPr>
        <w:t>—</w:t>
      </w:r>
      <w:r w:rsidRPr="00957B1D">
        <w:rPr>
          <w:rFonts w:ascii="Times New Roman" w:hAnsi="Times New Roman"/>
          <w:sz w:val="28"/>
          <w:szCs w:val="28"/>
        </w:rPr>
        <w:t xml:space="preserve"> 2026</w:t>
      </w:r>
      <w:r w:rsidRPr="00957B1D">
        <w:rPr>
          <w:rFonts w:ascii="Times New Roman" w:hAnsi="Times New Roman"/>
          <w:sz w:val="28"/>
          <w:szCs w:val="28"/>
          <w:lang w:val="en-US"/>
        </w:rPr>
        <w:t> </w:t>
      </w:r>
      <w:r w:rsidRPr="00957B1D">
        <w:rPr>
          <w:rFonts w:ascii="Times New Roman" w:hAnsi="Times New Roman"/>
          <w:sz w:val="28"/>
          <w:szCs w:val="28"/>
        </w:rPr>
        <w:t>році (з урахуванням індексу споживчих цін), якщо послуги надаються з відповідним розміщенням та організацією харчування.</w:t>
      </w:r>
    </w:p>
    <w:p w14:paraId="5B577CE0" w14:textId="41C5D964"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Суб’єкт надання послуг з адаптації здійснює перенаправлення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до інших суб’єктів надання послуг з адаптації, інформація про яких є в Переліку, у такому разі:</w:t>
      </w:r>
    </w:p>
    <w:p w14:paraId="465E77D0" w14:textId="31F0A8C3"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зазначений суб’єкт надання послуг з адаптації не може відповідно до своєї компетенції, зокрема, через відсутність у нього права надавати послуги певного рівня або відсутність необхідної спеціалізації, або через стан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чи з інших умотивованих причин надати йому послуги з адаптації необхідного виду та рівня;</w:t>
      </w:r>
    </w:p>
    <w:p w14:paraId="3127499E" w14:textId="6E68814D"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подання особистої заяви особою </w:t>
      </w:r>
      <w:r w:rsidR="00E219E3">
        <w:rPr>
          <w:rFonts w:ascii="Times New Roman" w:hAnsi="Times New Roman"/>
          <w:sz w:val="28"/>
          <w:szCs w:val="28"/>
        </w:rPr>
        <w:t>—</w:t>
      </w:r>
      <w:r w:rsidRPr="00957B1D">
        <w:rPr>
          <w:rFonts w:ascii="Times New Roman" w:hAnsi="Times New Roman"/>
          <w:sz w:val="28"/>
          <w:szCs w:val="28"/>
        </w:rPr>
        <w:t xml:space="preserve"> отримувачем послуг з адаптації про бажання отримувати послуги з адаптації від іншого суб’єкта надання послуг з адаптації.</w:t>
      </w:r>
    </w:p>
    <w:p w14:paraId="4B40112F" w14:textId="0E98DE16"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Суб’єкт надання послуг з адаптації перенаправляє особу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до іншого суб’єкта надання послуг з адаптації, який письмово, електронною поштою або в телефонній розмові підтвердив суб’єкту надання послуг з адаптації, який перенаправляє особу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свою готовність надати особі </w:t>
      </w:r>
      <w:r w:rsidR="00E219E3">
        <w:rPr>
          <w:rFonts w:ascii="Times New Roman" w:hAnsi="Times New Roman"/>
          <w:sz w:val="28"/>
          <w:szCs w:val="28"/>
        </w:rPr>
        <w:t>—</w:t>
      </w:r>
      <w:r w:rsidRPr="00957B1D">
        <w:rPr>
          <w:rFonts w:ascii="Times New Roman" w:hAnsi="Times New Roman"/>
          <w:sz w:val="28"/>
          <w:szCs w:val="28"/>
        </w:rPr>
        <w:t xml:space="preserve"> отримувачу послуги з адаптації необхідного йому рівня.</w:t>
      </w:r>
    </w:p>
    <w:p w14:paraId="73E0094B"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Перед </w:t>
      </w:r>
      <w:proofErr w:type="spellStart"/>
      <w:r w:rsidRPr="00957B1D">
        <w:rPr>
          <w:rFonts w:ascii="Times New Roman" w:hAnsi="Times New Roman"/>
          <w:sz w:val="28"/>
          <w:szCs w:val="28"/>
        </w:rPr>
        <w:t>видачею</w:t>
      </w:r>
      <w:proofErr w:type="spellEnd"/>
      <w:r w:rsidRPr="00957B1D">
        <w:rPr>
          <w:rFonts w:ascii="Times New Roman" w:hAnsi="Times New Roman"/>
          <w:sz w:val="28"/>
          <w:szCs w:val="28"/>
        </w:rPr>
        <w:t xml:space="preserve"> направлення суб’єкт надання послуг з адаптації, який здійснює перенаправлення, визначає суб’єкта надання послуг з адаптації, до якого буде направлено, та узгоджує з ним місце надання послуг, зокрема за місцезнаходженням суб’єкта надання послуг з адаптації чи за місцем проживання (перебування) отримувача послуг з адаптації, а також узгоджує дату та час прибуття отримувача послуг з адаптації до суб’єкта надання послуг з адаптації або суб’єкта надання послуг з адаптації до отримувача послуг з адаптації.</w:t>
      </w:r>
    </w:p>
    <w:p w14:paraId="74D17E8D" w14:textId="4580072F"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lastRenderedPageBreak/>
        <w:t xml:space="preserve">Якщо суб’єкт надання послуг з адаптації достроково припиняє надання послуг з адаптації особі </w:t>
      </w:r>
      <w:r w:rsidR="00E219E3">
        <w:rPr>
          <w:rFonts w:ascii="Times New Roman" w:hAnsi="Times New Roman"/>
          <w:sz w:val="28"/>
          <w:szCs w:val="28"/>
        </w:rPr>
        <w:t>—</w:t>
      </w:r>
      <w:r w:rsidRPr="00957B1D">
        <w:rPr>
          <w:rFonts w:ascii="Times New Roman" w:hAnsi="Times New Roman"/>
          <w:sz w:val="28"/>
          <w:szCs w:val="28"/>
        </w:rPr>
        <w:t xml:space="preserve"> отримувачу послуг з адаптації, зокрема у зв’язку з припиненням своєї діяльності, зазначений суб’єкт не пізніше ніж за п’ять календарних днів до дня такого припинення організовує перенаправлення особи </w:t>
      </w:r>
      <w:r w:rsidR="00E219E3">
        <w:rPr>
          <w:rFonts w:ascii="Times New Roman" w:hAnsi="Times New Roman"/>
          <w:sz w:val="28"/>
          <w:szCs w:val="28"/>
        </w:rPr>
        <w:t>—</w:t>
      </w:r>
      <w:r w:rsidRPr="00957B1D">
        <w:rPr>
          <w:rFonts w:ascii="Times New Roman" w:hAnsi="Times New Roman"/>
          <w:sz w:val="28"/>
          <w:szCs w:val="28"/>
        </w:rPr>
        <w:t xml:space="preserve"> отримувача до інших суб’єктів надання послуг з адаптації.</w:t>
      </w:r>
    </w:p>
    <w:p w14:paraId="23F0CE40"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Для отримання послуги з адаптації другого рівня отримувач послуг може звернутися безпосередньо до суб’єкта надання послуг з адаптації або за наявності технічної можливості звернутися до Мінветеранів із заявою в електронній формі через Єдиний державний реєстр ветеранів війни або Єдиний державний </w:t>
      </w:r>
      <w:proofErr w:type="spellStart"/>
      <w:r w:rsidRPr="00957B1D">
        <w:rPr>
          <w:rFonts w:ascii="Times New Roman" w:hAnsi="Times New Roman"/>
          <w:sz w:val="28"/>
          <w:szCs w:val="28"/>
        </w:rPr>
        <w:t>вебпортал</w:t>
      </w:r>
      <w:proofErr w:type="spellEnd"/>
      <w:r w:rsidRPr="00957B1D">
        <w:rPr>
          <w:rFonts w:ascii="Times New Roman" w:hAnsi="Times New Roman"/>
          <w:sz w:val="28"/>
          <w:szCs w:val="28"/>
        </w:rPr>
        <w:t xml:space="preserve"> електронних послуг чи його мобільний додаток (Дія).</w:t>
      </w:r>
    </w:p>
    <w:p w14:paraId="68253DCC"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Підставою для отримання послуг з адаптації, яка надається суб’єктом надання послуг з адаптації на другому рівні, є:</w:t>
      </w:r>
    </w:p>
    <w:p w14:paraId="77C09F10" w14:textId="3528D339"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пред’явлення оригіналів документів (паспорт громадянина України/паспорта громадянина України для виїзду за кордон або е-паспорта/е-паспорта для виїзду за кордон;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w:t>
      </w:r>
      <w:r w:rsidR="00E219E3">
        <w:rPr>
          <w:rFonts w:ascii="Times New Roman" w:hAnsi="Times New Roman"/>
          <w:sz w:val="28"/>
          <w:szCs w:val="28"/>
        </w:rPr>
        <w:t>—</w:t>
      </w:r>
      <w:r w:rsidRPr="00957B1D">
        <w:rPr>
          <w:rFonts w:ascii="Times New Roman" w:hAnsi="Times New Roman"/>
          <w:sz w:val="28"/>
          <w:szCs w:val="28"/>
        </w:rPr>
        <w:t xml:space="preserve"> паспорта громадянина України з відміткою відповідного контролюючого органу), посвідчення учасника бойових дій або особи з інвалідністю внаслідок війни;</w:t>
      </w:r>
    </w:p>
    <w:p w14:paraId="33A30E7E" w14:textId="5DB93FCE"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направлення лікаря з надання первинної медичної допомоги, якому особа </w:t>
      </w:r>
      <w:r w:rsidR="00E219E3">
        <w:rPr>
          <w:rFonts w:ascii="Times New Roman" w:hAnsi="Times New Roman"/>
          <w:sz w:val="28"/>
          <w:szCs w:val="28"/>
        </w:rPr>
        <w:t>—</w:t>
      </w:r>
      <w:r w:rsidRPr="00957B1D">
        <w:rPr>
          <w:rFonts w:ascii="Times New Roman" w:hAnsi="Times New Roman"/>
          <w:sz w:val="28"/>
          <w:szCs w:val="28"/>
        </w:rPr>
        <w:t xml:space="preserve"> отримувач послуг з адаптації подав декларацію про вибір лікаря, або направлення лікуючого лікаря в разі надання послуг з адаптації одночасно з наданням медичної допомоги в стаціонарних умовах відповідно до Порядку направлення пацієнтів до закладів охорони здоров’я та фізичних осіб </w:t>
      </w:r>
      <w:r w:rsidR="00E219E3">
        <w:rPr>
          <w:rFonts w:ascii="Times New Roman" w:hAnsi="Times New Roman"/>
          <w:sz w:val="28"/>
          <w:szCs w:val="28"/>
        </w:rPr>
        <w:t>—</w:t>
      </w:r>
      <w:r w:rsidRPr="00957B1D">
        <w:rPr>
          <w:rFonts w:ascii="Times New Roman" w:hAnsi="Times New Roman"/>
          <w:sz w:val="28"/>
          <w:szCs w:val="28"/>
        </w:rPr>
        <w:t xml:space="preserve"> підприємців, які в установленому законом порядку одержали ліцензію на провадження господарської діяльності з медичної практики та надають медичну допомогу відповідного виду, затвердженого наказом МОЗ </w:t>
      </w:r>
      <w:r w:rsidR="00B20A6C">
        <w:rPr>
          <w:rFonts w:ascii="Times New Roman" w:hAnsi="Times New Roman"/>
          <w:sz w:val="28"/>
          <w:szCs w:val="28"/>
        </w:rPr>
        <w:br/>
      </w:r>
      <w:r w:rsidRPr="00957B1D">
        <w:rPr>
          <w:rFonts w:ascii="Times New Roman" w:hAnsi="Times New Roman"/>
          <w:sz w:val="28"/>
          <w:szCs w:val="28"/>
        </w:rPr>
        <w:t>від 28 лютого 2020 р. № 586;</w:t>
      </w:r>
    </w:p>
    <w:p w14:paraId="116FBDFC" w14:textId="7ECD313D"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особисте звернення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в усному чи письмовому вигляді до лікаря з надання первинної медичної допомоги, з яким у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заключено декларацію про вибір лікаря або лікуючого лікаря в разі надання послуг з адаптації одночасно з наданням медичної допомоги в стаціонарних умовах.</w:t>
      </w:r>
    </w:p>
    <w:p w14:paraId="06D82798" w14:textId="77777777" w:rsidR="00C82AD7" w:rsidRPr="00957B1D" w:rsidRDefault="00C82AD7" w:rsidP="00C82AD7">
      <w:pPr>
        <w:shd w:val="clear" w:color="auto" w:fill="FFFFFF"/>
        <w:spacing w:before="120" w:after="0" w:line="240" w:lineRule="auto"/>
        <w:jc w:val="center"/>
        <w:rPr>
          <w:rFonts w:ascii="Times New Roman" w:hAnsi="Times New Roman"/>
          <w:sz w:val="28"/>
          <w:szCs w:val="28"/>
        </w:rPr>
      </w:pPr>
      <w:r w:rsidRPr="00957B1D">
        <w:rPr>
          <w:rFonts w:ascii="Times New Roman" w:hAnsi="Times New Roman"/>
          <w:sz w:val="28"/>
          <w:szCs w:val="28"/>
        </w:rPr>
        <w:t xml:space="preserve">Основні засади функціонування </w:t>
      </w:r>
    </w:p>
    <w:p w14:paraId="2D73AACB" w14:textId="77777777" w:rsidR="00C82AD7" w:rsidRPr="00957B1D" w:rsidRDefault="00C82AD7" w:rsidP="00C82AD7">
      <w:pPr>
        <w:shd w:val="clear" w:color="auto" w:fill="FFFFFF"/>
        <w:spacing w:after="0" w:line="240" w:lineRule="auto"/>
        <w:jc w:val="center"/>
        <w:rPr>
          <w:rFonts w:ascii="Times New Roman" w:hAnsi="Times New Roman"/>
          <w:sz w:val="28"/>
          <w:szCs w:val="28"/>
        </w:rPr>
      </w:pPr>
      <w:r w:rsidRPr="00957B1D">
        <w:rPr>
          <w:rFonts w:ascii="Times New Roman" w:hAnsi="Times New Roman"/>
          <w:sz w:val="28"/>
          <w:szCs w:val="28"/>
        </w:rPr>
        <w:t>третього рівня надання послуг з адаптації</w:t>
      </w:r>
    </w:p>
    <w:p w14:paraId="496BE68B"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На третьому рівні адаптації, що здійснюється на рівні громади, забезпечуються такі заходи:</w:t>
      </w:r>
    </w:p>
    <w:p w14:paraId="4B783032" w14:textId="5644F46D"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1) консультативна підтримка та супровід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включаючи соціальний супровід та адаптація в громаді;</w:t>
      </w:r>
    </w:p>
    <w:p w14:paraId="5CDDD5DD"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lastRenderedPageBreak/>
        <w:t>2) допомога у самообслуговуванні вдома;</w:t>
      </w:r>
    </w:p>
    <w:p w14:paraId="4562681C" w14:textId="7B0A5512"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3) навчання пересуванню у </w:t>
      </w:r>
      <w:proofErr w:type="spellStart"/>
      <w:r w:rsidRPr="00957B1D">
        <w:rPr>
          <w:rFonts w:ascii="Times New Roman" w:hAnsi="Times New Roman"/>
          <w:sz w:val="28"/>
          <w:szCs w:val="28"/>
        </w:rPr>
        <w:t>переоблаштованому</w:t>
      </w:r>
      <w:proofErr w:type="spellEnd"/>
      <w:r w:rsidRPr="00957B1D">
        <w:rPr>
          <w:rFonts w:ascii="Times New Roman" w:hAnsi="Times New Roman"/>
          <w:sz w:val="28"/>
          <w:szCs w:val="28"/>
        </w:rPr>
        <w:t xml:space="preserve"> місці проживання, відпрацювання навичок орієнтування за місцем проживання та організація простору для зручності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w:t>
      </w:r>
    </w:p>
    <w:p w14:paraId="6B40D86E"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4) навчання пересуванню поза місцем проживання (у громадських місцях, громадському транспорті тощо);</w:t>
      </w:r>
    </w:p>
    <w:p w14:paraId="31BBE122"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5) підтримка у сфері зайнятості та працевлаштування, включаючи створення та організація робочих місць для праці людей з втратою зору відповідно до затверджених стандартів та вимог у сфері забезпечення доступності та </w:t>
      </w:r>
      <w:proofErr w:type="spellStart"/>
      <w:r w:rsidRPr="00957B1D">
        <w:rPr>
          <w:rFonts w:ascii="Times New Roman" w:hAnsi="Times New Roman"/>
          <w:sz w:val="28"/>
          <w:szCs w:val="28"/>
        </w:rPr>
        <w:t>інклюзивності</w:t>
      </w:r>
      <w:proofErr w:type="spellEnd"/>
      <w:r w:rsidRPr="00957B1D">
        <w:rPr>
          <w:rFonts w:ascii="Times New Roman" w:hAnsi="Times New Roman"/>
          <w:sz w:val="28"/>
          <w:szCs w:val="28"/>
        </w:rPr>
        <w:t>;</w:t>
      </w:r>
    </w:p>
    <w:p w14:paraId="0FB8A1DB"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6) організація дозвілля;</w:t>
      </w:r>
    </w:p>
    <w:p w14:paraId="3926137E"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7) надання адміністративних, юридичних і соціальних послуг, включаючи допомогу у встановленні статусу особи з інвалідністю внаслідок війни, оформленні необхідних документів для отримання пільг, гарантій та соціальних послуг;</w:t>
      </w:r>
    </w:p>
    <w:p w14:paraId="04C6A6D0"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8) створення </w:t>
      </w:r>
      <w:proofErr w:type="spellStart"/>
      <w:r w:rsidRPr="00957B1D">
        <w:rPr>
          <w:rFonts w:ascii="Times New Roman" w:hAnsi="Times New Roman"/>
          <w:sz w:val="28"/>
          <w:szCs w:val="28"/>
        </w:rPr>
        <w:t>безбар’єрного</w:t>
      </w:r>
      <w:proofErr w:type="spellEnd"/>
      <w:r w:rsidRPr="00957B1D">
        <w:rPr>
          <w:rFonts w:ascii="Times New Roman" w:hAnsi="Times New Roman"/>
          <w:sz w:val="28"/>
          <w:szCs w:val="28"/>
        </w:rPr>
        <w:t xml:space="preserve"> середовища в громаді та облаштування доступних маршрутів;</w:t>
      </w:r>
    </w:p>
    <w:p w14:paraId="53FA2B77"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9) соціальна адаптація осіб з втратою зору у громаду, забезпечуючи включення членів громади у процес підтримки через навчання принципам коректної комунікації та взаємодії з людьми, які мають порушення зору;</w:t>
      </w:r>
    </w:p>
    <w:p w14:paraId="3F624D05" w14:textId="77777777"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10) підтримання навичок опанування </w:t>
      </w:r>
      <w:proofErr w:type="spellStart"/>
      <w:r w:rsidRPr="00957B1D">
        <w:rPr>
          <w:rFonts w:ascii="Times New Roman" w:hAnsi="Times New Roman"/>
          <w:sz w:val="28"/>
          <w:szCs w:val="28"/>
        </w:rPr>
        <w:t>асистивних</w:t>
      </w:r>
      <w:proofErr w:type="spellEnd"/>
      <w:r w:rsidRPr="00957B1D">
        <w:rPr>
          <w:rFonts w:ascii="Times New Roman" w:hAnsi="Times New Roman"/>
          <w:sz w:val="28"/>
          <w:szCs w:val="28"/>
        </w:rPr>
        <w:t xml:space="preserve"> та інформаційних технологій;</w:t>
      </w:r>
    </w:p>
    <w:p w14:paraId="39319C06" w14:textId="69E7A00C"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 xml:space="preserve">11) підвищення кваліфікації фахівців, які надають послуги особам </w:t>
      </w:r>
      <w:r w:rsidR="00E219E3">
        <w:rPr>
          <w:rFonts w:ascii="Times New Roman" w:hAnsi="Times New Roman"/>
          <w:sz w:val="28"/>
          <w:szCs w:val="28"/>
        </w:rPr>
        <w:t>—</w:t>
      </w:r>
      <w:r w:rsidRPr="00957B1D">
        <w:rPr>
          <w:rFonts w:ascii="Times New Roman" w:hAnsi="Times New Roman"/>
          <w:sz w:val="28"/>
          <w:szCs w:val="28"/>
        </w:rPr>
        <w:t xml:space="preserve"> отримувачам послуг з адаптації.</w:t>
      </w:r>
    </w:p>
    <w:p w14:paraId="3F3B588A"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Послуги з адаптації на третьому рівні здійснюються районними, районними в мм. Києві та Севастополі держадміністраціями, виконавчими органами сільських, селищних, міських рад шляхом залучення фахівців із супроводу ветеранів війни та демобілізованих осіб, соціальних робітників та інших необхідних спеціалістів</w:t>
      </w:r>
    </w:p>
    <w:p w14:paraId="62C06F1C" w14:textId="2945C7CE"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Стандарти щодо облаштування житла та робочих місць для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розробляються та затверджуються Мінсоцполітики за погодженням з МОЗ та </w:t>
      </w:r>
      <w:proofErr w:type="spellStart"/>
      <w:r w:rsidRPr="00957B1D">
        <w:rPr>
          <w:rFonts w:ascii="Times New Roman" w:hAnsi="Times New Roman"/>
          <w:sz w:val="28"/>
          <w:szCs w:val="28"/>
        </w:rPr>
        <w:t>Мінрозвитку</w:t>
      </w:r>
      <w:proofErr w:type="spellEnd"/>
      <w:r w:rsidRPr="00957B1D">
        <w:rPr>
          <w:rFonts w:ascii="Times New Roman" w:hAnsi="Times New Roman"/>
          <w:sz w:val="28"/>
          <w:szCs w:val="28"/>
        </w:rPr>
        <w:t>.</w:t>
      </w:r>
    </w:p>
    <w:p w14:paraId="0B73823B"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Облаштування житла та робочих місць отримувачів послуг з адаптації здійснюється органами місцевого самоврядування в межах наявних бюджетних асигнувань та відповідно до затверджених стандартів.</w:t>
      </w:r>
    </w:p>
    <w:p w14:paraId="6957CAFA" w14:textId="551A43BB"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Для отримання послуги з адаптації третього рівня за рахунок коштів обласних/місцевих бюджетів або отриманих з інших джерел, не заборонених законодавством, особа </w:t>
      </w:r>
      <w:r w:rsidR="00E219E3">
        <w:rPr>
          <w:rFonts w:ascii="Times New Roman" w:hAnsi="Times New Roman"/>
          <w:sz w:val="28"/>
          <w:szCs w:val="28"/>
        </w:rPr>
        <w:t>—</w:t>
      </w:r>
      <w:r w:rsidRPr="00957B1D">
        <w:rPr>
          <w:rFonts w:ascii="Times New Roman" w:hAnsi="Times New Roman"/>
          <w:sz w:val="28"/>
          <w:szCs w:val="28"/>
        </w:rPr>
        <w:t xml:space="preserve"> отримувач послуг з адаптації звертається до структурного підрозділу, на який покладено функції з питань ветеранської політики, за задекларованим/зареєстрованим місцем </w:t>
      </w:r>
      <w:r w:rsidRPr="00957B1D">
        <w:rPr>
          <w:rFonts w:ascii="Times New Roman" w:hAnsi="Times New Roman"/>
          <w:sz w:val="28"/>
          <w:szCs w:val="28"/>
        </w:rPr>
        <w:lastRenderedPageBreak/>
        <w:t xml:space="preserve">проживання (перебування) (далі </w:t>
      </w:r>
      <w:r w:rsidR="00E219E3">
        <w:rPr>
          <w:rFonts w:ascii="Times New Roman" w:hAnsi="Times New Roman"/>
          <w:sz w:val="28"/>
          <w:szCs w:val="28"/>
        </w:rPr>
        <w:t>—</w:t>
      </w:r>
      <w:r w:rsidRPr="00957B1D">
        <w:rPr>
          <w:rFonts w:ascii="Times New Roman" w:hAnsi="Times New Roman"/>
          <w:sz w:val="28"/>
          <w:szCs w:val="28"/>
        </w:rPr>
        <w:t xml:space="preserve"> структурний підрозділ з питань ветеранської політики) з письмовою заявою. </w:t>
      </w:r>
    </w:p>
    <w:p w14:paraId="6812C5D7" w14:textId="3B97E296" w:rsidR="00C82AD7" w:rsidRPr="00957B1D" w:rsidRDefault="00C82AD7" w:rsidP="00C82AD7">
      <w:pPr>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Під час дії на території України або адміністративно-територіальної одиниці надзвичайного або воєнного стану заяву може бути подано за місцем звернення особи </w:t>
      </w:r>
      <w:r w:rsidR="00E219E3">
        <w:rPr>
          <w:rFonts w:ascii="Times New Roman" w:hAnsi="Times New Roman"/>
          <w:sz w:val="28"/>
          <w:szCs w:val="28"/>
        </w:rPr>
        <w:t>—</w:t>
      </w:r>
      <w:r w:rsidRPr="00957B1D">
        <w:rPr>
          <w:rFonts w:ascii="Times New Roman" w:hAnsi="Times New Roman"/>
          <w:sz w:val="28"/>
          <w:szCs w:val="28"/>
        </w:rPr>
        <w:t xml:space="preserve"> отримувача послуг з адаптації незалежно від її задекларованого/зареєстрованого місця проживання (перебування).</w:t>
      </w:r>
    </w:p>
    <w:p w14:paraId="333CADF6"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Підставою для надання послуги з адаптації за рахунок коштів обласних/місцевих бюджетів або отриманих з інших джерел, не заборонених законодавством, є рішення структурного підрозділу з питань ветеранської політики.</w:t>
      </w:r>
    </w:p>
    <w:p w14:paraId="39EA7C93" w14:textId="77777777" w:rsidR="00C82AD7" w:rsidRPr="00957B1D" w:rsidRDefault="00C82AD7" w:rsidP="00C82AD7">
      <w:pPr>
        <w:spacing w:before="120" w:after="0" w:line="240" w:lineRule="auto"/>
        <w:ind w:firstLine="567"/>
        <w:jc w:val="both"/>
        <w:rPr>
          <w:rFonts w:ascii="Times New Roman" w:hAnsi="Times New Roman"/>
          <w:sz w:val="28"/>
          <w:szCs w:val="28"/>
        </w:rPr>
      </w:pPr>
      <w:r w:rsidRPr="00957B1D">
        <w:rPr>
          <w:rFonts w:ascii="Times New Roman" w:hAnsi="Times New Roman"/>
          <w:sz w:val="28"/>
          <w:szCs w:val="28"/>
        </w:rPr>
        <w:t>Рішення про надання/відмову в наданні послуги з адаптації за рахунок коштів обласних/місцевих бюджетів або отриманих з інших джерел, не заборонених законодавством, структурний підрозділ з питань ветеранської політики, приймає відповідно до порядку, затвердженого відповідним нормативно-правовим актом районної, районної в мм. Києві та Севастополі держадміністрації, виконавчим органом сільської, селищної, міської ради.</w:t>
      </w:r>
    </w:p>
    <w:p w14:paraId="73B9F4CE" w14:textId="3E4B1285"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Гранична вартість наданих послуг з адаптації одній особі </w:t>
      </w:r>
      <w:r w:rsidR="00E219E3">
        <w:rPr>
          <w:rFonts w:ascii="Times New Roman" w:hAnsi="Times New Roman"/>
          <w:sz w:val="28"/>
          <w:szCs w:val="28"/>
        </w:rPr>
        <w:t>—</w:t>
      </w:r>
      <w:r w:rsidRPr="00957B1D">
        <w:rPr>
          <w:rFonts w:ascii="Times New Roman" w:hAnsi="Times New Roman"/>
          <w:sz w:val="28"/>
          <w:szCs w:val="28"/>
        </w:rPr>
        <w:t xml:space="preserve"> отримувачу послуг з адаптації під час реалізації третього рівня визначається районними, районними в мм. Києві та Севастополі держадміністраціями, виконавчими органами сільських, селищних, міських рад відповідно до положень Бюджетного кодексу України, Законів України “Про місцеве самоврядування в Україні” та “Про місцеві державні адміністрації”, в межах бюджетних асигнувань, затверджених відповідними місцевими органами влади.</w:t>
      </w:r>
    </w:p>
    <w:p w14:paraId="3FF18822" w14:textId="77777777" w:rsidR="00C82AD7" w:rsidRPr="00957B1D" w:rsidRDefault="00C82AD7" w:rsidP="00C82AD7">
      <w:pPr>
        <w:shd w:val="clear" w:color="auto" w:fill="FFFFFF"/>
        <w:spacing w:before="120" w:after="0" w:line="240" w:lineRule="auto"/>
        <w:jc w:val="center"/>
        <w:rPr>
          <w:rFonts w:ascii="Times New Roman" w:hAnsi="Times New Roman"/>
          <w:sz w:val="28"/>
          <w:szCs w:val="28"/>
        </w:rPr>
      </w:pPr>
      <w:r w:rsidRPr="00957B1D">
        <w:rPr>
          <w:rFonts w:ascii="Times New Roman" w:hAnsi="Times New Roman"/>
          <w:sz w:val="28"/>
          <w:szCs w:val="28"/>
        </w:rPr>
        <w:t xml:space="preserve">Моніторинг та оцінка якості </w:t>
      </w:r>
      <w:r w:rsidRPr="00957B1D">
        <w:rPr>
          <w:rFonts w:ascii="Times New Roman" w:hAnsi="Times New Roman"/>
          <w:sz w:val="28"/>
          <w:szCs w:val="28"/>
        </w:rPr>
        <w:br/>
        <w:t>надання послуг з адаптації</w:t>
      </w:r>
    </w:p>
    <w:p w14:paraId="30005F96" w14:textId="6E164BCC"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Моніторинг стану надання послуг з адаптації (далі </w:t>
      </w:r>
      <w:r w:rsidR="00E219E3">
        <w:rPr>
          <w:rFonts w:ascii="Times New Roman" w:hAnsi="Times New Roman"/>
          <w:sz w:val="28"/>
          <w:szCs w:val="28"/>
        </w:rPr>
        <w:t>—</w:t>
      </w:r>
      <w:r w:rsidRPr="00957B1D">
        <w:rPr>
          <w:rFonts w:ascii="Times New Roman" w:hAnsi="Times New Roman"/>
          <w:sz w:val="28"/>
          <w:szCs w:val="28"/>
        </w:rPr>
        <w:t xml:space="preserve"> моніторинг) та оцінка якості надання послуг з адаптації (далі </w:t>
      </w:r>
      <w:r w:rsidR="00E219E3">
        <w:rPr>
          <w:rFonts w:ascii="Times New Roman" w:hAnsi="Times New Roman"/>
          <w:sz w:val="28"/>
          <w:szCs w:val="28"/>
        </w:rPr>
        <w:t>—</w:t>
      </w:r>
      <w:r w:rsidRPr="00957B1D">
        <w:rPr>
          <w:rFonts w:ascii="Times New Roman" w:hAnsi="Times New Roman"/>
          <w:sz w:val="28"/>
          <w:szCs w:val="28"/>
        </w:rPr>
        <w:t xml:space="preserve"> оцінка) проводяться Мінветеранів з метою:</w:t>
      </w:r>
    </w:p>
    <w:p w14:paraId="195FD22A" w14:textId="4AF481C2"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визначення відповідності наданих послуг з адаптації особам </w:t>
      </w:r>
      <w:r w:rsidR="00E219E3">
        <w:rPr>
          <w:rFonts w:ascii="Times New Roman" w:hAnsi="Times New Roman"/>
          <w:sz w:val="28"/>
          <w:szCs w:val="28"/>
        </w:rPr>
        <w:t>—</w:t>
      </w:r>
      <w:r w:rsidRPr="00957B1D">
        <w:rPr>
          <w:rFonts w:ascii="Times New Roman" w:hAnsi="Times New Roman"/>
          <w:sz w:val="28"/>
          <w:szCs w:val="28"/>
        </w:rPr>
        <w:t xml:space="preserve"> отримувачам послуг з адаптації відповідно до цього Порядку;</w:t>
      </w:r>
    </w:p>
    <w:p w14:paraId="0C0E527A" w14:textId="4F35D2BA"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забезпечення надання особам </w:t>
      </w:r>
      <w:r w:rsidR="00E219E3">
        <w:rPr>
          <w:rFonts w:ascii="Times New Roman" w:hAnsi="Times New Roman"/>
          <w:sz w:val="28"/>
          <w:szCs w:val="28"/>
        </w:rPr>
        <w:t>—</w:t>
      </w:r>
      <w:r w:rsidRPr="00957B1D">
        <w:rPr>
          <w:rFonts w:ascii="Times New Roman" w:hAnsi="Times New Roman"/>
          <w:sz w:val="28"/>
          <w:szCs w:val="28"/>
        </w:rPr>
        <w:t xml:space="preserve"> отримувачам послуг з адаптації якісних послуг з адаптації;</w:t>
      </w:r>
    </w:p>
    <w:p w14:paraId="1C7ED529"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підвищення ефективності роботи з організації та надання послуг з адаптації;</w:t>
      </w:r>
    </w:p>
    <w:p w14:paraId="48C43A45"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планування подальшої роботи з розвитку системи надання послуг з адаптації.</w:t>
      </w:r>
    </w:p>
    <w:p w14:paraId="2AFC41A2"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Проведення моніторингу та оцінки сприяє:</w:t>
      </w:r>
    </w:p>
    <w:p w14:paraId="2A6EB227"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координації діяльності суб’єктів надання послуг з адаптації;</w:t>
      </w:r>
    </w:p>
    <w:p w14:paraId="73B554E3"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lastRenderedPageBreak/>
        <w:t>отриманню інформації про діяльність суб’єктів надання послуг з адаптації, їх методи роботи, кількість та кваліфікацію залучених фахівців з адаптації.</w:t>
      </w:r>
    </w:p>
    <w:p w14:paraId="0E8676B0"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Моніторинг діяльності суб’єктів надання послуг з адаптації проводиться Мінветеранів із залученням структурних підрозділів з питань ветеранської політики.</w:t>
      </w:r>
    </w:p>
    <w:p w14:paraId="5783F8E8"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Моніторинг передбачає збір та оброблення інформації про надання послуг з адаптації, проведення аналізу узагальненої інформації та планування роботи з розвитку системи надання послуг з адаптації.</w:t>
      </w:r>
    </w:p>
    <w:p w14:paraId="7CF0B43E" w14:textId="1EE34DBE"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Інформація про надання послуг з адаптації складається із статистичних, адміністративних, оперативних даних про потреби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про діяльність суб’єктів надання послуг з адаптації та їх кількість.</w:t>
      </w:r>
    </w:p>
    <w:p w14:paraId="393FB82B" w14:textId="1B3AB6AA"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Збір даних моніторингу проводиться щокварталу, оперативних даних</w:t>
      </w:r>
      <w:r w:rsidRPr="00957B1D">
        <w:t> </w:t>
      </w:r>
      <w:r w:rsidR="00E219E3">
        <w:rPr>
          <w:rFonts w:ascii="Times New Roman" w:hAnsi="Times New Roman"/>
          <w:sz w:val="28"/>
          <w:szCs w:val="28"/>
        </w:rPr>
        <w:t>—</w:t>
      </w:r>
      <w:r w:rsidRPr="00957B1D">
        <w:rPr>
          <w:rFonts w:ascii="Times New Roman" w:hAnsi="Times New Roman"/>
          <w:sz w:val="28"/>
          <w:szCs w:val="28"/>
        </w:rPr>
        <w:t xml:space="preserve"> у разі потреби.</w:t>
      </w:r>
    </w:p>
    <w:p w14:paraId="5C891705"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Основними завданнями проведення моніторингу є:</w:t>
      </w:r>
    </w:p>
    <w:p w14:paraId="12450D03"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визначення кількості осіб в адміністративно-територіальній одиниці, які потребують послуг з адаптації;</w:t>
      </w:r>
    </w:p>
    <w:p w14:paraId="7E10D8AB" w14:textId="25E830AB"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визначення кількості суб’єктів надання послуг з адаптації та їх можливостей в частині забезпечення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відповідними послугами;</w:t>
      </w:r>
    </w:p>
    <w:p w14:paraId="67551B3E" w14:textId="549F721C"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задоволення потреб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якісними послугами з адаптації;</w:t>
      </w:r>
    </w:p>
    <w:p w14:paraId="470314EE"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підготовка звітів про надання послуг з адаптації;</w:t>
      </w:r>
    </w:p>
    <w:p w14:paraId="5C46CE85"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планування роботи з розвитку системи надання послуг з адаптації;</w:t>
      </w:r>
    </w:p>
    <w:p w14:paraId="236D98EA" w14:textId="2E920091"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розвиток ринку надання послуг з адаптації відповідно до реальних потреб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w:t>
      </w:r>
    </w:p>
    <w:p w14:paraId="3E8FFF42"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розроблення пропозицій щодо формування державної політики у сфері надання послуг з адаптації.</w:t>
      </w:r>
    </w:p>
    <w:p w14:paraId="35404DEF"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Моніторинг та оцінка послуг з адаптації проводяться відповідно до порядку та критеріїв, затверджених Мінветеранів.</w:t>
      </w:r>
    </w:p>
    <w:p w14:paraId="7EFAA42F" w14:textId="4B04D58B"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Інформація про результати моніторингу розміщується на офіційних </w:t>
      </w:r>
      <w:proofErr w:type="spellStart"/>
      <w:r w:rsidRPr="00957B1D">
        <w:rPr>
          <w:rFonts w:ascii="Times New Roman" w:hAnsi="Times New Roman"/>
          <w:sz w:val="28"/>
          <w:szCs w:val="28"/>
        </w:rPr>
        <w:t>вебсайтах</w:t>
      </w:r>
      <w:proofErr w:type="spellEnd"/>
      <w:r w:rsidRPr="00957B1D">
        <w:rPr>
          <w:rFonts w:ascii="Times New Roman" w:hAnsi="Times New Roman"/>
          <w:sz w:val="28"/>
          <w:szCs w:val="28"/>
        </w:rPr>
        <w:t xml:space="preserve"> структурних підрозділів з питань ветеранської політики та Мінветеранів не пізніше ніж протягом п’яти робочих днів після завершення проведення такого моніторингу.</w:t>
      </w:r>
    </w:p>
    <w:p w14:paraId="7079A186"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Оцінка суб’єктів надання послуг з адаптації за результатами щоквартальних звітів проводиться Мінветеранів не рідше ніж один раз на рік із залученням (за згодою) провідних фахівців у сфері надання послуг з адаптації, представників органів виконавчої влади, органів місцевого </w:t>
      </w:r>
      <w:r w:rsidRPr="00957B1D">
        <w:rPr>
          <w:rFonts w:ascii="Times New Roman" w:hAnsi="Times New Roman"/>
          <w:sz w:val="28"/>
          <w:szCs w:val="28"/>
        </w:rPr>
        <w:lastRenderedPageBreak/>
        <w:t>самоврядування, структурних підрозділів з питань ветеранської політики та громадських об’єднань.</w:t>
      </w:r>
    </w:p>
    <w:p w14:paraId="053674AA"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Оцінка проводиться шляхом вжиття комплексу заходів, спрямованих на встановлення рівня відповідності надання послуг з адаптації відповідно до цього Порядку.</w:t>
      </w:r>
    </w:p>
    <w:p w14:paraId="15264F4A"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Метою проведення оцінки є:</w:t>
      </w:r>
    </w:p>
    <w:p w14:paraId="79BC7FD4"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підвищення ефективності діяльності суб’єктів надання послуг з адаптації;</w:t>
      </w:r>
    </w:p>
    <w:p w14:paraId="4F80DFD3"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підвищення рівня професійної компетенції фахівців суб’єктів надання послуг з адаптації;</w:t>
      </w:r>
    </w:p>
    <w:p w14:paraId="1E178C94"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виявлення та обговорення проблем, що перешкоджають розвитку надання послуг з адаптації;</w:t>
      </w:r>
    </w:p>
    <w:p w14:paraId="0878C4F6"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виявлення та виправлення недоліків надання послуг з адаптації суб’єктом надання послуг з адаптації;</w:t>
      </w:r>
    </w:p>
    <w:p w14:paraId="1C28D7E1"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підвищення якості надання послуг з адаптації.</w:t>
      </w:r>
    </w:p>
    <w:p w14:paraId="65EE834A"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Оцінка не проводиться у разі введення на території України або адміністративно-територіальної одиниці, де надавалися послуги з адаптації, надзвичайного або воєнного стану та протягом трьох місяців після його припинення чи скасування.</w:t>
      </w:r>
    </w:p>
    <w:p w14:paraId="0A2FA2B3"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Методами оцінки є:</w:t>
      </w:r>
    </w:p>
    <w:p w14:paraId="60816752" w14:textId="6E79351A"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опитування/анкетування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 та/або їх законних представників;</w:t>
      </w:r>
    </w:p>
    <w:p w14:paraId="5F659AC4"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спостереження за процесом надання послуг з адаптації;</w:t>
      </w:r>
    </w:p>
    <w:p w14:paraId="57EF3335"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проведення аналізу результатів наданих послуг з адаптації;</w:t>
      </w:r>
    </w:p>
    <w:p w14:paraId="0E8C6893"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проведення бесіди/співбесіди з персоналом суб’єкта надання послуг з адаптації;</w:t>
      </w:r>
    </w:p>
    <w:p w14:paraId="3B948D98" w14:textId="36FCDB31"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вивчення документації суб’єкта надання послуг з адаптації, іншої документації, зокрема звернень осіб </w:t>
      </w:r>
      <w:r w:rsidR="00E219E3">
        <w:rPr>
          <w:rFonts w:ascii="Times New Roman" w:hAnsi="Times New Roman"/>
          <w:sz w:val="28"/>
          <w:szCs w:val="28"/>
        </w:rPr>
        <w:t>—</w:t>
      </w:r>
      <w:r w:rsidRPr="00957B1D">
        <w:rPr>
          <w:rFonts w:ascii="Times New Roman" w:hAnsi="Times New Roman"/>
          <w:sz w:val="28"/>
          <w:szCs w:val="28"/>
        </w:rPr>
        <w:t xml:space="preserve"> отримувачів послуг з адаптації;</w:t>
      </w:r>
    </w:p>
    <w:p w14:paraId="4D08D0EB"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проведення фокус-груп з особами - отримувачами послуг з адаптації та/або їх законними представниками із залученням персоналу суб’єкта надання послуг з адаптації.</w:t>
      </w:r>
    </w:p>
    <w:p w14:paraId="664392E6" w14:textId="1EC2EDD3"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Оцінка якості послуг з адаптації проводиться Мінветеранів </w:t>
      </w:r>
      <w:r w:rsidR="00B20A6C">
        <w:rPr>
          <w:rFonts w:ascii="Times New Roman" w:hAnsi="Times New Roman"/>
          <w:sz w:val="28"/>
          <w:szCs w:val="28"/>
        </w:rPr>
        <w:t xml:space="preserve">до </w:t>
      </w:r>
      <w:r w:rsidR="00B20A6C">
        <w:rPr>
          <w:rFonts w:ascii="Times New Roman" w:hAnsi="Times New Roman"/>
          <w:sz w:val="28"/>
          <w:szCs w:val="28"/>
        </w:rPr>
        <w:br/>
        <w:t>31 грудня 2026 року</w:t>
      </w:r>
      <w:r w:rsidRPr="00957B1D">
        <w:rPr>
          <w:rFonts w:ascii="Times New Roman" w:hAnsi="Times New Roman"/>
          <w:sz w:val="28"/>
          <w:szCs w:val="28"/>
        </w:rPr>
        <w:t>.</w:t>
      </w:r>
    </w:p>
    <w:p w14:paraId="49675EFD" w14:textId="77777777"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Оцінка проводиться відповідно до порядку та критеріїв, затверджених Мінветеранів.</w:t>
      </w:r>
    </w:p>
    <w:p w14:paraId="1DB3FD28" w14:textId="77777777" w:rsidR="00C82AD7" w:rsidRPr="00957B1D" w:rsidRDefault="00C82AD7" w:rsidP="00C82AD7">
      <w:pPr>
        <w:pStyle w:val="a5"/>
        <w:numPr>
          <w:ilvl w:val="0"/>
          <w:numId w:val="5"/>
        </w:numPr>
        <w:shd w:val="clear" w:color="auto" w:fill="FFFFFF"/>
        <w:tabs>
          <w:tab w:val="left" w:pos="993"/>
        </w:tabs>
        <w:spacing w:before="120" w:after="0" w:line="240" w:lineRule="auto"/>
        <w:ind w:left="0" w:firstLine="567"/>
        <w:contextualSpacing w:val="0"/>
        <w:jc w:val="both"/>
        <w:rPr>
          <w:rFonts w:ascii="Times New Roman" w:hAnsi="Times New Roman"/>
          <w:sz w:val="28"/>
          <w:szCs w:val="28"/>
        </w:rPr>
      </w:pPr>
      <w:r w:rsidRPr="00957B1D">
        <w:rPr>
          <w:rFonts w:ascii="Times New Roman" w:hAnsi="Times New Roman"/>
          <w:sz w:val="28"/>
          <w:szCs w:val="28"/>
        </w:rPr>
        <w:t xml:space="preserve">Звіт за результатами оцінки, який повинен містити інформацію про досягнення та у разі потреби рекомендації для покращення якості наданих </w:t>
      </w:r>
      <w:r w:rsidRPr="00957B1D">
        <w:rPr>
          <w:rFonts w:ascii="Times New Roman" w:hAnsi="Times New Roman"/>
          <w:sz w:val="28"/>
          <w:szCs w:val="28"/>
        </w:rPr>
        <w:lastRenderedPageBreak/>
        <w:t>послуг з адаптації або покращення організації роботи суб’єкта надання послуг з адаптації, передається такому суб’єкту надання послуг з адаптації.</w:t>
      </w:r>
    </w:p>
    <w:p w14:paraId="1D03BAEE" w14:textId="372A897A" w:rsidR="00C82AD7" w:rsidRPr="00957B1D" w:rsidRDefault="00C82AD7" w:rsidP="00C82AD7">
      <w:pPr>
        <w:shd w:val="clear" w:color="auto" w:fill="FFFFFF"/>
        <w:spacing w:before="120" w:after="0" w:line="240" w:lineRule="auto"/>
        <w:ind w:firstLine="567"/>
        <w:jc w:val="both"/>
        <w:rPr>
          <w:rFonts w:ascii="Times New Roman" w:hAnsi="Times New Roman"/>
          <w:sz w:val="24"/>
          <w:szCs w:val="24"/>
        </w:rPr>
      </w:pPr>
      <w:r w:rsidRPr="00957B1D">
        <w:rPr>
          <w:rFonts w:ascii="Times New Roman" w:hAnsi="Times New Roman"/>
          <w:sz w:val="28"/>
          <w:szCs w:val="28"/>
        </w:rPr>
        <w:t xml:space="preserve">Зведений звіт про якість послуг з адаптації, що надаються суб’єктами надання послуг з адаптації, оприлюднюється щороку на офіційному </w:t>
      </w:r>
      <w:proofErr w:type="spellStart"/>
      <w:r w:rsidRPr="00957B1D">
        <w:rPr>
          <w:rFonts w:ascii="Times New Roman" w:hAnsi="Times New Roman"/>
          <w:sz w:val="28"/>
          <w:szCs w:val="28"/>
        </w:rPr>
        <w:t>вебсайті</w:t>
      </w:r>
      <w:proofErr w:type="spellEnd"/>
      <w:r w:rsidRPr="00957B1D">
        <w:rPr>
          <w:rFonts w:ascii="Times New Roman" w:hAnsi="Times New Roman"/>
          <w:sz w:val="28"/>
          <w:szCs w:val="28"/>
        </w:rPr>
        <w:t xml:space="preserve"> Мінветеранів.</w:t>
      </w:r>
    </w:p>
    <w:p w14:paraId="3326F64F" w14:textId="77777777" w:rsidR="00C82AD7" w:rsidRPr="00957B1D" w:rsidRDefault="00C82AD7" w:rsidP="00C82AD7">
      <w:pPr>
        <w:spacing w:after="0" w:line="240" w:lineRule="auto"/>
        <w:ind w:right="652" w:firstLine="567"/>
        <w:rPr>
          <w:rFonts w:ascii="Times New Roman" w:hAnsi="Times New Roman"/>
          <w:sz w:val="24"/>
          <w:szCs w:val="24"/>
        </w:rPr>
      </w:pPr>
    </w:p>
    <w:p w14:paraId="78C3F0DD" w14:textId="77777777" w:rsidR="00C82AD7" w:rsidRPr="00957B1D" w:rsidRDefault="00C82AD7" w:rsidP="00C82AD7">
      <w:pPr>
        <w:spacing w:after="0" w:line="240" w:lineRule="auto"/>
        <w:ind w:right="652" w:firstLine="567"/>
        <w:jc w:val="center"/>
        <w:rPr>
          <w:rFonts w:ascii="Times New Roman" w:hAnsi="Times New Roman"/>
        </w:rPr>
      </w:pPr>
    </w:p>
    <w:p w14:paraId="0FFC4905" w14:textId="77777777" w:rsidR="00C82AD7" w:rsidRPr="00957B1D" w:rsidRDefault="00C82AD7" w:rsidP="00C82AD7">
      <w:pPr>
        <w:spacing w:after="0" w:line="240" w:lineRule="auto"/>
        <w:ind w:right="652" w:firstLine="567"/>
        <w:jc w:val="center"/>
        <w:rPr>
          <w:rFonts w:ascii="Times New Roman" w:hAnsi="Times New Roman"/>
        </w:rPr>
        <w:sectPr w:rsidR="00C82AD7" w:rsidRPr="00957B1D" w:rsidSect="00E310F9">
          <w:headerReference w:type="default" r:id="rId8"/>
          <w:pgSz w:w="11906" w:h="16838"/>
          <w:pgMar w:top="1134" w:right="1134" w:bottom="1134" w:left="1701" w:header="510" w:footer="0" w:gutter="0"/>
          <w:pgNumType w:start="1"/>
          <w:cols w:space="720"/>
          <w:titlePg/>
        </w:sectPr>
      </w:pPr>
      <w:r w:rsidRPr="00957B1D">
        <w:rPr>
          <w:rFonts w:ascii="Times New Roman" w:hAnsi="Times New Roman"/>
        </w:rPr>
        <w:t>__________________________</w:t>
      </w:r>
    </w:p>
    <w:p w14:paraId="522CECCD" w14:textId="0BC0B6EA" w:rsidR="005F1999" w:rsidRPr="009C2380" w:rsidRDefault="005F1999" w:rsidP="00E310F9">
      <w:pPr>
        <w:widowControl w:val="0"/>
        <w:autoSpaceDE w:val="0"/>
        <w:autoSpaceDN w:val="0"/>
        <w:ind w:left="6379"/>
        <w:jc w:val="center"/>
        <w:rPr>
          <w:rFonts w:ascii="Times New Roman" w:hAnsi="Times New Roman"/>
          <w:sz w:val="24"/>
          <w:szCs w:val="24"/>
        </w:rPr>
      </w:pPr>
      <w:r w:rsidRPr="009C2380">
        <w:rPr>
          <w:rFonts w:ascii="Times New Roman" w:hAnsi="Times New Roman"/>
          <w:sz w:val="24"/>
          <w:szCs w:val="24"/>
        </w:rPr>
        <w:lastRenderedPageBreak/>
        <w:t>Додаток 1</w:t>
      </w:r>
      <w:r w:rsidRPr="009C2380">
        <w:rPr>
          <w:rFonts w:ascii="Times New Roman" w:hAnsi="Times New Roman"/>
          <w:sz w:val="24"/>
          <w:szCs w:val="24"/>
        </w:rPr>
        <w:br/>
        <w:t>до Порядку</w:t>
      </w:r>
    </w:p>
    <w:p w14:paraId="20854BFE" w14:textId="77777777" w:rsidR="005F1999" w:rsidRPr="00BE5CE9" w:rsidRDefault="005F1999" w:rsidP="005F1999">
      <w:pPr>
        <w:spacing w:after="240"/>
        <w:rPr>
          <w:rFonts w:ascii="Times New Roman" w:hAnsi="Times New Roman"/>
          <w:sz w:val="24"/>
          <w:szCs w:val="24"/>
        </w:rPr>
      </w:pPr>
    </w:p>
    <w:p w14:paraId="34C108BF" w14:textId="77777777" w:rsidR="005F1999" w:rsidRPr="009C2380" w:rsidRDefault="005F1999" w:rsidP="005F1999">
      <w:pPr>
        <w:ind w:left="5812" w:firstLine="1"/>
        <w:rPr>
          <w:rFonts w:ascii="Times New Roman" w:hAnsi="Times New Roman"/>
          <w:sz w:val="24"/>
          <w:szCs w:val="24"/>
        </w:rPr>
      </w:pPr>
      <w:r w:rsidRPr="009C2380">
        <w:rPr>
          <w:rFonts w:ascii="Times New Roman" w:hAnsi="Times New Roman"/>
          <w:sz w:val="24"/>
          <w:szCs w:val="24"/>
        </w:rPr>
        <w:t>Міністерство у справах ветеранів України</w:t>
      </w:r>
    </w:p>
    <w:p w14:paraId="6C794713" w14:textId="77777777" w:rsidR="005F1999" w:rsidRPr="00BE5CE9" w:rsidRDefault="005F1999" w:rsidP="005F1999">
      <w:pPr>
        <w:spacing w:after="240"/>
        <w:rPr>
          <w:rFonts w:ascii="Times New Roman" w:hAnsi="Times New Roman"/>
          <w:sz w:val="28"/>
          <w:szCs w:val="28"/>
        </w:rPr>
      </w:pPr>
    </w:p>
    <w:p w14:paraId="03A88CE2" w14:textId="77777777" w:rsidR="005F1999" w:rsidRPr="00BE5CE9" w:rsidRDefault="005F1999" w:rsidP="005F1999">
      <w:pPr>
        <w:ind w:left="110" w:right="113"/>
        <w:jc w:val="center"/>
        <w:rPr>
          <w:rFonts w:ascii="Times New Roman" w:hAnsi="Times New Roman"/>
          <w:sz w:val="28"/>
          <w:szCs w:val="28"/>
        </w:rPr>
      </w:pPr>
      <w:r w:rsidRPr="00BE5CE9">
        <w:rPr>
          <w:rFonts w:ascii="Times New Roman" w:hAnsi="Times New Roman"/>
          <w:sz w:val="28"/>
          <w:szCs w:val="28"/>
        </w:rPr>
        <w:t>ЗАЯВА</w:t>
      </w:r>
    </w:p>
    <w:p w14:paraId="743159A5" w14:textId="77777777" w:rsidR="005F1999" w:rsidRPr="00BE5CE9" w:rsidRDefault="005F1999" w:rsidP="005F1999">
      <w:pPr>
        <w:spacing w:after="240"/>
        <w:rPr>
          <w:rFonts w:ascii="Times New Roman" w:hAnsi="Times New Roman"/>
          <w:sz w:val="24"/>
          <w:szCs w:val="24"/>
        </w:rPr>
      </w:pPr>
    </w:p>
    <w:p w14:paraId="2448FAD7" w14:textId="047C4391" w:rsidR="005F1999" w:rsidRPr="009C2380" w:rsidRDefault="005F1999" w:rsidP="005F1999">
      <w:pPr>
        <w:numPr>
          <w:ilvl w:val="0"/>
          <w:numId w:val="3"/>
        </w:numPr>
        <w:tabs>
          <w:tab w:val="left" w:pos="4678"/>
        </w:tabs>
        <w:autoSpaceDN w:val="0"/>
        <w:spacing w:after="0" w:line="240" w:lineRule="auto"/>
        <w:ind w:left="4253" w:right="-1"/>
        <w:contextualSpacing/>
        <w:jc w:val="both"/>
        <w:rPr>
          <w:rFonts w:ascii="Times New Roman" w:hAnsi="Times New Roman"/>
          <w:sz w:val="24"/>
          <w:szCs w:val="24"/>
        </w:rPr>
      </w:pPr>
      <w:r w:rsidRPr="009C2380">
        <w:rPr>
          <w:rFonts w:ascii="Times New Roman" w:hAnsi="Times New Roman"/>
          <w:sz w:val="24"/>
          <w:szCs w:val="24"/>
        </w:rPr>
        <w:t xml:space="preserve">про включення до </w:t>
      </w:r>
      <w:r>
        <w:rPr>
          <w:rFonts w:ascii="Times New Roman" w:hAnsi="Times New Roman"/>
          <w:sz w:val="24"/>
          <w:szCs w:val="24"/>
        </w:rPr>
        <w:t>Переліку</w:t>
      </w:r>
      <w:r w:rsidRPr="009C2380">
        <w:rPr>
          <w:rFonts w:ascii="Times New Roman" w:hAnsi="Times New Roman"/>
          <w:sz w:val="24"/>
          <w:szCs w:val="24"/>
        </w:rPr>
        <w:t xml:space="preserve"> суб’єктів надання послуг </w:t>
      </w:r>
      <w:r>
        <w:rPr>
          <w:rFonts w:ascii="Times New Roman" w:hAnsi="Times New Roman"/>
          <w:sz w:val="24"/>
          <w:szCs w:val="24"/>
        </w:rPr>
        <w:t>з адаптації</w:t>
      </w:r>
      <w:r w:rsidRPr="009C2380">
        <w:rPr>
          <w:rFonts w:ascii="Times New Roman" w:hAnsi="Times New Roman"/>
          <w:sz w:val="24"/>
          <w:szCs w:val="24"/>
        </w:rPr>
        <w:t xml:space="preserve"> </w:t>
      </w:r>
      <w:r w:rsidR="00587A13" w:rsidRPr="00587A13">
        <w:rPr>
          <w:rFonts w:ascii="Times New Roman" w:hAnsi="Times New Roman"/>
          <w:sz w:val="24"/>
          <w:szCs w:val="24"/>
        </w:rPr>
        <w:t>для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p>
    <w:p w14:paraId="1ECBD32A" w14:textId="77777777" w:rsidR="005F1999" w:rsidRPr="00BE5CE9" w:rsidRDefault="005F1999" w:rsidP="005F1999">
      <w:pPr>
        <w:tabs>
          <w:tab w:val="left" w:pos="4678"/>
        </w:tabs>
        <w:autoSpaceDN w:val="0"/>
        <w:ind w:left="4253" w:right="-1"/>
        <w:contextualSpacing/>
        <w:jc w:val="both"/>
        <w:rPr>
          <w:rFonts w:ascii="Times New Roman" w:hAnsi="Times New Roman"/>
          <w:sz w:val="28"/>
          <w:szCs w:val="28"/>
        </w:rPr>
      </w:pPr>
    </w:p>
    <w:p w14:paraId="5925885F" w14:textId="7B403C24" w:rsidR="005F1999" w:rsidRDefault="005F1999" w:rsidP="00871B3E">
      <w:pPr>
        <w:numPr>
          <w:ilvl w:val="0"/>
          <w:numId w:val="4"/>
        </w:numPr>
        <w:tabs>
          <w:tab w:val="left" w:pos="4678"/>
        </w:tabs>
        <w:autoSpaceDN w:val="0"/>
        <w:spacing w:before="120" w:after="240" w:line="240" w:lineRule="auto"/>
        <w:ind w:left="4253" w:right="-1"/>
        <w:contextualSpacing/>
        <w:jc w:val="both"/>
        <w:rPr>
          <w:rFonts w:ascii="Times New Roman" w:hAnsi="Times New Roman"/>
          <w:sz w:val="24"/>
          <w:szCs w:val="24"/>
        </w:rPr>
      </w:pPr>
      <w:r w:rsidRPr="00587A13">
        <w:rPr>
          <w:rFonts w:ascii="Times New Roman" w:hAnsi="Times New Roman"/>
          <w:sz w:val="24"/>
          <w:szCs w:val="24"/>
        </w:rPr>
        <w:t xml:space="preserve">про виключення з </w:t>
      </w:r>
      <w:r w:rsidR="00587A13">
        <w:rPr>
          <w:rFonts w:ascii="Times New Roman" w:hAnsi="Times New Roman"/>
          <w:sz w:val="24"/>
          <w:szCs w:val="24"/>
        </w:rPr>
        <w:t>Переліку</w:t>
      </w:r>
      <w:r w:rsidR="00587A13" w:rsidRPr="009C2380">
        <w:rPr>
          <w:rFonts w:ascii="Times New Roman" w:hAnsi="Times New Roman"/>
          <w:sz w:val="24"/>
          <w:szCs w:val="24"/>
        </w:rPr>
        <w:t xml:space="preserve"> суб’єктів надання послуг </w:t>
      </w:r>
      <w:r w:rsidR="00587A13">
        <w:rPr>
          <w:rFonts w:ascii="Times New Roman" w:hAnsi="Times New Roman"/>
          <w:sz w:val="24"/>
          <w:szCs w:val="24"/>
        </w:rPr>
        <w:t>з адаптації</w:t>
      </w:r>
      <w:r w:rsidR="00587A13" w:rsidRPr="009C2380">
        <w:rPr>
          <w:rFonts w:ascii="Times New Roman" w:hAnsi="Times New Roman"/>
          <w:sz w:val="24"/>
          <w:szCs w:val="24"/>
        </w:rPr>
        <w:t xml:space="preserve"> </w:t>
      </w:r>
      <w:r w:rsidR="00587A13" w:rsidRPr="00587A13">
        <w:rPr>
          <w:rFonts w:ascii="Times New Roman" w:hAnsi="Times New Roman"/>
          <w:sz w:val="24"/>
          <w:szCs w:val="24"/>
        </w:rPr>
        <w:t>для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p>
    <w:p w14:paraId="6A502D4F" w14:textId="77777777" w:rsidR="00587A13" w:rsidRPr="00587A13" w:rsidRDefault="00587A13" w:rsidP="00587A13">
      <w:pPr>
        <w:tabs>
          <w:tab w:val="left" w:pos="4678"/>
        </w:tabs>
        <w:autoSpaceDN w:val="0"/>
        <w:spacing w:before="120" w:after="240" w:line="240" w:lineRule="auto"/>
        <w:ind w:right="-1"/>
        <w:contextualSpacing/>
        <w:jc w:val="both"/>
        <w:rPr>
          <w:rFonts w:ascii="Times New Roman" w:hAnsi="Times New Roman"/>
          <w:sz w:val="24"/>
          <w:szCs w:val="24"/>
        </w:rPr>
      </w:pPr>
    </w:p>
    <w:p w14:paraId="0FED91E9" w14:textId="300C4459" w:rsidR="005F1999" w:rsidRDefault="005F1999" w:rsidP="005F1999">
      <w:pPr>
        <w:ind w:left="121" w:firstLine="567"/>
        <w:jc w:val="both"/>
        <w:rPr>
          <w:rFonts w:ascii="Times New Roman" w:hAnsi="Times New Roman"/>
          <w:sz w:val="24"/>
          <w:szCs w:val="24"/>
        </w:rPr>
      </w:pPr>
      <w:r w:rsidRPr="009C2380">
        <w:rPr>
          <w:rFonts w:ascii="Times New Roman" w:hAnsi="Times New Roman"/>
          <w:sz w:val="24"/>
          <w:szCs w:val="24"/>
        </w:rPr>
        <w:t xml:space="preserve">Повне та скорочене найменування юридичної особи/прізвище, власне ім’я, по батькові (за наявності) фізичної </w:t>
      </w:r>
      <w:r w:rsidR="00517E8A">
        <w:rPr>
          <w:rFonts w:ascii="Times New Roman" w:hAnsi="Times New Roman"/>
          <w:sz w:val="24"/>
          <w:szCs w:val="24"/>
        </w:rPr>
        <w:t xml:space="preserve">особи </w:t>
      </w:r>
      <w:r w:rsidR="00E219E3">
        <w:rPr>
          <w:rFonts w:ascii="Times New Roman" w:hAnsi="Times New Roman"/>
          <w:sz w:val="24"/>
          <w:szCs w:val="24"/>
        </w:rPr>
        <w:t>—</w:t>
      </w:r>
      <w:r w:rsidRPr="009C2380">
        <w:rPr>
          <w:rFonts w:ascii="Times New Roman" w:hAnsi="Times New Roman"/>
          <w:sz w:val="24"/>
          <w:szCs w:val="24"/>
        </w:rPr>
        <w:t xml:space="preserve"> підприємця </w:t>
      </w:r>
    </w:p>
    <w:p w14:paraId="22852901" w14:textId="22BDE137" w:rsidR="005F1999" w:rsidRPr="00E817EE" w:rsidRDefault="005F1999" w:rsidP="00E817EE">
      <w:pPr>
        <w:jc w:val="both"/>
        <w:rPr>
          <w:rFonts w:ascii="Times New Roman" w:hAnsi="Times New Roman"/>
          <w:sz w:val="24"/>
          <w:szCs w:val="24"/>
        </w:rPr>
      </w:pPr>
      <w:r>
        <w:rPr>
          <w:rFonts w:ascii="Times New Roman" w:hAnsi="Times New Roman"/>
          <w:sz w:val="24"/>
          <w:szCs w:val="24"/>
        </w:rPr>
        <w:t>______</w:t>
      </w:r>
      <w:r w:rsidRPr="00C67162">
        <w:rPr>
          <w:rFonts w:ascii="Times New Roman" w:hAnsi="Times New Roman"/>
          <w:sz w:val="24"/>
          <w:szCs w:val="24"/>
        </w:rPr>
        <w:t>__________________________</w:t>
      </w:r>
      <w:r w:rsidR="00E817EE" w:rsidRPr="00C67162">
        <w:rPr>
          <w:rFonts w:ascii="Times New Roman" w:hAnsi="Times New Roman"/>
          <w:sz w:val="24"/>
          <w:szCs w:val="24"/>
        </w:rPr>
        <w:t>_______________________________________________________________________________</w:t>
      </w:r>
      <w:r w:rsidRPr="00C67162">
        <w:rPr>
          <w:rFonts w:ascii="Times New Roman" w:hAnsi="Times New Roman"/>
          <w:sz w:val="24"/>
          <w:szCs w:val="24"/>
        </w:rPr>
        <w:t>_______________________________________</w:t>
      </w:r>
    </w:p>
    <w:p w14:paraId="6982C847" w14:textId="3767912E" w:rsidR="005F1999" w:rsidRPr="00C67162" w:rsidRDefault="005F1999" w:rsidP="005F1999">
      <w:pPr>
        <w:spacing w:before="84"/>
        <w:ind w:left="121" w:right="-1" w:firstLine="567"/>
        <w:jc w:val="both"/>
        <w:rPr>
          <w:rFonts w:ascii="Times New Roman" w:hAnsi="Times New Roman"/>
          <w:sz w:val="24"/>
          <w:szCs w:val="24"/>
        </w:rPr>
      </w:pPr>
      <w:r w:rsidRPr="009C2380">
        <w:rPr>
          <w:rFonts w:ascii="Times New Roman" w:hAnsi="Times New Roman"/>
          <w:sz w:val="24"/>
          <w:szCs w:val="24"/>
        </w:rPr>
        <w:t xml:space="preserve">Ідентифікаційний код (юридичної особи) чи реєстраційний номер облікової картки платника податків фізичної </w:t>
      </w:r>
      <w:r w:rsidR="00517E8A">
        <w:rPr>
          <w:rFonts w:ascii="Times New Roman" w:hAnsi="Times New Roman"/>
          <w:sz w:val="24"/>
          <w:szCs w:val="24"/>
        </w:rPr>
        <w:t xml:space="preserve">особи </w:t>
      </w:r>
      <w:r w:rsidR="00E219E3">
        <w:rPr>
          <w:rFonts w:ascii="Times New Roman" w:hAnsi="Times New Roman"/>
          <w:sz w:val="24"/>
          <w:szCs w:val="24"/>
        </w:rPr>
        <w:t>—</w:t>
      </w:r>
      <w:r w:rsidRPr="009C2380">
        <w:rPr>
          <w:rFonts w:ascii="Times New Roman" w:hAnsi="Times New Roman"/>
          <w:sz w:val="24"/>
          <w:szCs w:val="24"/>
        </w:rPr>
        <w:t xml:space="preserve"> підприємця з Єдиного державного реєстру юридичних осіб, фізичних </w:t>
      </w:r>
      <w:r w:rsidR="00517E8A">
        <w:rPr>
          <w:rFonts w:ascii="Times New Roman" w:hAnsi="Times New Roman"/>
          <w:sz w:val="24"/>
          <w:szCs w:val="24"/>
        </w:rPr>
        <w:t xml:space="preserve">осіб </w:t>
      </w:r>
      <w:r w:rsidR="00E219E3">
        <w:rPr>
          <w:rFonts w:ascii="Times New Roman" w:hAnsi="Times New Roman"/>
          <w:sz w:val="24"/>
          <w:szCs w:val="24"/>
        </w:rPr>
        <w:t>—</w:t>
      </w:r>
      <w:r w:rsidRPr="009C2380">
        <w:rPr>
          <w:rFonts w:ascii="Times New Roman" w:hAnsi="Times New Roman"/>
          <w:sz w:val="24"/>
          <w:szCs w:val="24"/>
        </w:rPr>
        <w:t xml:space="preserve"> підприємців та громадських формувань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про право здійснювати платежі за серією та номером паспорта) </w:t>
      </w:r>
    </w:p>
    <w:p w14:paraId="594A3F7B" w14:textId="22CCAC4B" w:rsidR="005F1999" w:rsidRPr="00C67162" w:rsidRDefault="005F1999" w:rsidP="005F1999">
      <w:pPr>
        <w:tabs>
          <w:tab w:val="left" w:pos="9071"/>
        </w:tabs>
        <w:spacing w:before="84"/>
        <w:jc w:val="both"/>
        <w:rPr>
          <w:rFonts w:ascii="Times New Roman" w:hAnsi="Times New Roman"/>
          <w:sz w:val="24"/>
          <w:szCs w:val="24"/>
          <w:u w:val="single"/>
        </w:rPr>
      </w:pPr>
      <w:r w:rsidRPr="00C67162">
        <w:rPr>
          <w:rFonts w:ascii="Times New Roman" w:hAnsi="Times New Roman"/>
          <w:sz w:val="24"/>
          <w:szCs w:val="24"/>
          <w:u w:val="single"/>
        </w:rPr>
        <w:tab/>
      </w:r>
    </w:p>
    <w:p w14:paraId="10723CE9" w14:textId="77777777" w:rsidR="005F1999" w:rsidRPr="00C67162" w:rsidRDefault="005F1999" w:rsidP="005F1999">
      <w:pPr>
        <w:tabs>
          <w:tab w:val="left" w:pos="9071"/>
        </w:tabs>
        <w:spacing w:before="84"/>
        <w:ind w:left="121" w:firstLine="567"/>
        <w:jc w:val="both"/>
        <w:rPr>
          <w:rFonts w:ascii="Times New Roman" w:hAnsi="Times New Roman"/>
          <w:sz w:val="24"/>
          <w:szCs w:val="24"/>
          <w:u w:val="single"/>
        </w:rPr>
      </w:pPr>
      <w:r w:rsidRPr="009C2380">
        <w:rPr>
          <w:rFonts w:ascii="Times New Roman" w:hAnsi="Times New Roman"/>
          <w:sz w:val="24"/>
          <w:szCs w:val="24"/>
        </w:rPr>
        <w:t xml:space="preserve">Організаційно-правова форма/вид громадського об’єднання, благодійної чи релігійної організації (для включення як суб’єкта надання послуг) </w:t>
      </w:r>
      <w:r w:rsidRPr="00C67162">
        <w:rPr>
          <w:rFonts w:ascii="Times New Roman" w:hAnsi="Times New Roman"/>
          <w:sz w:val="24"/>
          <w:szCs w:val="24"/>
        </w:rPr>
        <w:t>________________________________</w:t>
      </w:r>
    </w:p>
    <w:p w14:paraId="0997675A" w14:textId="02255153" w:rsidR="005F1999" w:rsidRPr="009C2380" w:rsidRDefault="005F1999" w:rsidP="005F1999">
      <w:pPr>
        <w:tabs>
          <w:tab w:val="left" w:pos="9071"/>
        </w:tabs>
        <w:spacing w:before="84"/>
        <w:ind w:left="121" w:right="-1" w:firstLine="567"/>
        <w:jc w:val="both"/>
        <w:rPr>
          <w:rFonts w:ascii="Times New Roman" w:hAnsi="Times New Roman"/>
          <w:sz w:val="24"/>
          <w:szCs w:val="24"/>
          <w:u w:val="single"/>
          <w:lang w:val="ru-RU"/>
        </w:rPr>
      </w:pPr>
      <w:r w:rsidRPr="009C2380">
        <w:rPr>
          <w:rFonts w:ascii="Times New Roman" w:hAnsi="Times New Roman"/>
          <w:sz w:val="24"/>
          <w:szCs w:val="24"/>
        </w:rPr>
        <w:t xml:space="preserve">Місцезнаходження юридичної особи /адреса задекларованого/зареєстрованого місця проживання (перебування) фізичної </w:t>
      </w:r>
      <w:r w:rsidR="00517E8A">
        <w:rPr>
          <w:rFonts w:ascii="Times New Roman" w:hAnsi="Times New Roman"/>
          <w:sz w:val="24"/>
          <w:szCs w:val="24"/>
        </w:rPr>
        <w:t xml:space="preserve">особи </w:t>
      </w:r>
      <w:r w:rsidR="00E219E3">
        <w:rPr>
          <w:rFonts w:ascii="Times New Roman" w:hAnsi="Times New Roman"/>
          <w:sz w:val="24"/>
          <w:szCs w:val="24"/>
        </w:rPr>
        <w:t>—</w:t>
      </w:r>
      <w:r w:rsidRPr="009C2380">
        <w:rPr>
          <w:rFonts w:ascii="Times New Roman" w:hAnsi="Times New Roman"/>
          <w:sz w:val="24"/>
          <w:szCs w:val="24"/>
        </w:rPr>
        <w:t xml:space="preserve"> підприємця </w:t>
      </w:r>
      <w:r w:rsidRPr="009C2380">
        <w:rPr>
          <w:rFonts w:ascii="Times New Roman" w:hAnsi="Times New Roman"/>
          <w:sz w:val="24"/>
          <w:szCs w:val="24"/>
          <w:u w:val="single"/>
          <w:lang w:val="ru-RU"/>
        </w:rPr>
        <w:tab/>
      </w:r>
    </w:p>
    <w:p w14:paraId="10649DB9" w14:textId="06C49DE9" w:rsidR="005F1999" w:rsidRPr="009C2380" w:rsidRDefault="005F1999" w:rsidP="005F1999">
      <w:pPr>
        <w:tabs>
          <w:tab w:val="left" w:pos="9071"/>
        </w:tabs>
        <w:spacing w:before="84"/>
        <w:ind w:right="-1"/>
        <w:jc w:val="both"/>
        <w:rPr>
          <w:rFonts w:ascii="Times New Roman" w:hAnsi="Times New Roman"/>
          <w:sz w:val="24"/>
          <w:szCs w:val="24"/>
          <w:lang w:val="ru-RU"/>
        </w:rPr>
      </w:pPr>
      <w:r w:rsidRPr="009C2380">
        <w:rPr>
          <w:rFonts w:ascii="Times New Roman" w:hAnsi="Times New Roman"/>
          <w:sz w:val="24"/>
          <w:szCs w:val="24"/>
          <w:u w:val="single"/>
          <w:lang w:val="ru-RU"/>
        </w:rPr>
        <w:tab/>
      </w:r>
    </w:p>
    <w:p w14:paraId="7F037441" w14:textId="5A195C15" w:rsidR="005F1999" w:rsidRPr="009C2380" w:rsidRDefault="005F1999" w:rsidP="005F1999">
      <w:pPr>
        <w:spacing w:before="84"/>
        <w:ind w:right="-1" w:firstLine="709"/>
        <w:jc w:val="both"/>
        <w:rPr>
          <w:rFonts w:ascii="Times New Roman" w:hAnsi="Times New Roman"/>
          <w:sz w:val="24"/>
          <w:szCs w:val="24"/>
        </w:rPr>
      </w:pPr>
      <w:r w:rsidRPr="009C2380">
        <w:rPr>
          <w:rFonts w:ascii="Times New Roman" w:hAnsi="Times New Roman"/>
          <w:sz w:val="24"/>
          <w:szCs w:val="24"/>
        </w:rPr>
        <w:lastRenderedPageBreak/>
        <w:t xml:space="preserve">Місце надання послуг (зазначається, якщо воно відрізняється від місцезнаходження юридичної особи, адреса задекларованого/зареєстрованого місця проживання (перебування) фізичної </w:t>
      </w:r>
      <w:r w:rsidR="00517E8A">
        <w:rPr>
          <w:rFonts w:ascii="Times New Roman" w:hAnsi="Times New Roman"/>
          <w:sz w:val="24"/>
          <w:szCs w:val="24"/>
        </w:rPr>
        <w:t xml:space="preserve">особи </w:t>
      </w:r>
      <w:r w:rsidR="00E219E3">
        <w:rPr>
          <w:rFonts w:ascii="Times New Roman" w:hAnsi="Times New Roman"/>
          <w:sz w:val="24"/>
          <w:szCs w:val="24"/>
        </w:rPr>
        <w:t>—</w:t>
      </w:r>
      <w:r w:rsidRPr="009C2380">
        <w:rPr>
          <w:rFonts w:ascii="Times New Roman" w:hAnsi="Times New Roman"/>
          <w:sz w:val="24"/>
          <w:szCs w:val="24"/>
        </w:rPr>
        <w:t xml:space="preserve"> підприємця) ______________</w:t>
      </w:r>
      <w:r>
        <w:rPr>
          <w:rFonts w:ascii="Times New Roman" w:hAnsi="Times New Roman"/>
          <w:sz w:val="24"/>
          <w:szCs w:val="24"/>
          <w:lang w:val="ru-RU"/>
        </w:rPr>
        <w:t>_</w:t>
      </w:r>
      <w:r w:rsidR="00E817EE">
        <w:rPr>
          <w:rFonts w:ascii="Times New Roman" w:hAnsi="Times New Roman"/>
          <w:sz w:val="24"/>
          <w:szCs w:val="24"/>
          <w:lang w:val="ru-RU"/>
        </w:rPr>
        <w:t>_</w:t>
      </w:r>
      <w:r>
        <w:rPr>
          <w:rFonts w:ascii="Times New Roman" w:hAnsi="Times New Roman"/>
          <w:sz w:val="24"/>
          <w:szCs w:val="24"/>
          <w:lang w:val="ru-RU"/>
        </w:rPr>
        <w:t>____</w:t>
      </w:r>
      <w:r w:rsidRPr="009C2380">
        <w:rPr>
          <w:rFonts w:ascii="Times New Roman" w:hAnsi="Times New Roman"/>
          <w:sz w:val="24"/>
          <w:szCs w:val="24"/>
          <w:lang w:val="ru-RU"/>
        </w:rPr>
        <w:t>__</w:t>
      </w:r>
      <w:r w:rsidRPr="009C2380">
        <w:rPr>
          <w:rFonts w:ascii="Times New Roman" w:hAnsi="Times New Roman"/>
          <w:sz w:val="24"/>
          <w:szCs w:val="24"/>
        </w:rPr>
        <w:t>___</w:t>
      </w:r>
    </w:p>
    <w:p w14:paraId="428FEEB4" w14:textId="2FEA083D" w:rsidR="005F1999" w:rsidRPr="00BE5CE9" w:rsidRDefault="005F1999" w:rsidP="005F1999">
      <w:pPr>
        <w:spacing w:before="84"/>
        <w:ind w:right="-1"/>
        <w:jc w:val="both"/>
        <w:rPr>
          <w:rFonts w:ascii="Times New Roman" w:hAnsi="Times New Roman"/>
          <w:sz w:val="28"/>
          <w:szCs w:val="28"/>
        </w:rPr>
      </w:pPr>
      <w:r w:rsidRPr="009C2380">
        <w:rPr>
          <w:rFonts w:ascii="Times New Roman" w:hAnsi="Times New Roman"/>
          <w:sz w:val="24"/>
          <w:szCs w:val="24"/>
        </w:rPr>
        <w:t>_____________________________________________________</w:t>
      </w:r>
      <w:r w:rsidRPr="009C2380">
        <w:rPr>
          <w:rFonts w:ascii="Times New Roman" w:hAnsi="Times New Roman"/>
          <w:sz w:val="24"/>
          <w:szCs w:val="24"/>
          <w:lang w:val="ru-RU"/>
        </w:rPr>
        <w:t>________________</w:t>
      </w:r>
      <w:r w:rsidRPr="009C2380">
        <w:rPr>
          <w:rFonts w:ascii="Times New Roman" w:hAnsi="Times New Roman"/>
          <w:sz w:val="24"/>
          <w:szCs w:val="24"/>
        </w:rPr>
        <w:t>______</w:t>
      </w:r>
    </w:p>
    <w:p w14:paraId="26C54A6E" w14:textId="54B46EB0" w:rsidR="005F1999" w:rsidRPr="009C2380" w:rsidRDefault="005F1999" w:rsidP="005F1999">
      <w:pPr>
        <w:spacing w:before="120"/>
        <w:ind w:left="121" w:firstLine="567"/>
        <w:jc w:val="both"/>
        <w:rPr>
          <w:rFonts w:ascii="Times New Roman" w:hAnsi="Times New Roman"/>
          <w:sz w:val="24"/>
          <w:szCs w:val="24"/>
          <w:lang w:val="ru-RU"/>
        </w:rPr>
      </w:pPr>
      <w:r w:rsidRPr="009C2380">
        <w:rPr>
          <w:rFonts w:ascii="Times New Roman" w:hAnsi="Times New Roman"/>
          <w:sz w:val="24"/>
          <w:szCs w:val="24"/>
        </w:rPr>
        <w:t xml:space="preserve">Номери контактних телефонів; адреса електронної пошти; адреса </w:t>
      </w:r>
      <w:proofErr w:type="spellStart"/>
      <w:r w:rsidR="00B20A6C">
        <w:rPr>
          <w:rFonts w:ascii="Times New Roman" w:hAnsi="Times New Roman"/>
          <w:sz w:val="24"/>
          <w:szCs w:val="24"/>
        </w:rPr>
        <w:t>вебсайту</w:t>
      </w:r>
      <w:proofErr w:type="spellEnd"/>
      <w:r w:rsidRPr="009C2380">
        <w:rPr>
          <w:rFonts w:ascii="Times New Roman" w:hAnsi="Times New Roman"/>
          <w:sz w:val="24"/>
          <w:szCs w:val="24"/>
        </w:rPr>
        <w:t xml:space="preserve"> або іншого інформаційного ресурсу (за наявності) ______</w:t>
      </w:r>
      <w:r w:rsidRPr="009C2380">
        <w:rPr>
          <w:rFonts w:ascii="Times New Roman" w:hAnsi="Times New Roman"/>
          <w:sz w:val="24"/>
          <w:szCs w:val="24"/>
          <w:lang w:val="ru-RU"/>
        </w:rPr>
        <w:t>___________________________</w:t>
      </w:r>
      <w:r w:rsidRPr="009C2380">
        <w:rPr>
          <w:rFonts w:ascii="Times New Roman" w:hAnsi="Times New Roman"/>
          <w:sz w:val="24"/>
          <w:szCs w:val="24"/>
        </w:rPr>
        <w:t>_</w:t>
      </w:r>
    </w:p>
    <w:p w14:paraId="79C52C08" w14:textId="150E1629" w:rsidR="005F1999" w:rsidRPr="00BE5CE9" w:rsidRDefault="005F1999" w:rsidP="005F1999">
      <w:pPr>
        <w:rPr>
          <w:rFonts w:ascii="Times New Roman" w:hAnsi="Times New Roman"/>
          <w:sz w:val="28"/>
          <w:szCs w:val="28"/>
          <w:lang w:val="ru-RU"/>
        </w:rPr>
      </w:pPr>
      <w:r w:rsidRPr="009C2380">
        <w:rPr>
          <w:rFonts w:ascii="Times New Roman" w:hAnsi="Times New Roman"/>
          <w:sz w:val="24"/>
          <w:szCs w:val="24"/>
        </w:rPr>
        <w:t>________________________________</w:t>
      </w:r>
      <w:r w:rsidRPr="006609D5">
        <w:rPr>
          <w:rFonts w:ascii="Times New Roman" w:hAnsi="Times New Roman"/>
          <w:sz w:val="24"/>
          <w:szCs w:val="24"/>
          <w:lang w:val="ru-RU"/>
        </w:rPr>
        <w:t>________________</w:t>
      </w:r>
      <w:r w:rsidRPr="009C2380">
        <w:rPr>
          <w:rFonts w:ascii="Times New Roman" w:hAnsi="Times New Roman"/>
          <w:sz w:val="24"/>
          <w:szCs w:val="24"/>
        </w:rPr>
        <w:t>___________________________</w:t>
      </w:r>
    </w:p>
    <w:p w14:paraId="3C56AB0B" w14:textId="23D24F46" w:rsidR="00587A13" w:rsidRPr="00587A13" w:rsidRDefault="005F1999" w:rsidP="00587A13">
      <w:pPr>
        <w:spacing w:before="240"/>
        <w:ind w:firstLine="709"/>
        <w:rPr>
          <w:rFonts w:ascii="Times New Roman" w:hAnsi="Times New Roman"/>
          <w:sz w:val="24"/>
          <w:szCs w:val="24"/>
          <w:lang w:val="ru-RU"/>
        </w:rPr>
      </w:pPr>
      <w:r w:rsidRPr="002D4EE6">
        <w:rPr>
          <w:rFonts w:ascii="Times New Roman" w:hAnsi="Times New Roman"/>
          <w:sz w:val="24"/>
          <w:szCs w:val="24"/>
        </w:rPr>
        <w:t>Банківські реквізити для перерахування бюджетних коштів</w:t>
      </w:r>
      <w:r w:rsidRPr="002D4EE6">
        <w:rPr>
          <w:rFonts w:ascii="Times New Roman" w:hAnsi="Times New Roman"/>
          <w:sz w:val="24"/>
          <w:szCs w:val="24"/>
          <w:lang w:val="ru-RU"/>
        </w:rPr>
        <w:t xml:space="preserve"> </w:t>
      </w:r>
      <w:r w:rsidRPr="002D4EE6">
        <w:rPr>
          <w:rFonts w:ascii="Times New Roman" w:hAnsi="Times New Roman"/>
          <w:sz w:val="24"/>
          <w:szCs w:val="24"/>
        </w:rPr>
        <w:t>_________________</w:t>
      </w:r>
      <w:r w:rsidRPr="002D4EE6">
        <w:rPr>
          <w:rFonts w:ascii="Times New Roman" w:hAnsi="Times New Roman"/>
          <w:sz w:val="24"/>
          <w:szCs w:val="24"/>
          <w:lang w:val="ru-RU"/>
        </w:rPr>
        <w:t>__________________________________________________________</w:t>
      </w:r>
    </w:p>
    <w:p w14:paraId="04D671AF" w14:textId="77777777" w:rsidR="005F1999" w:rsidRPr="002D4EE6" w:rsidRDefault="005F1999" w:rsidP="005F1999">
      <w:pPr>
        <w:spacing w:before="141"/>
        <w:ind w:left="688"/>
        <w:rPr>
          <w:rFonts w:ascii="Times New Roman" w:hAnsi="Times New Roman"/>
          <w:sz w:val="24"/>
          <w:szCs w:val="24"/>
        </w:rPr>
      </w:pPr>
      <w:r w:rsidRPr="002D4EE6">
        <w:rPr>
          <w:rFonts w:ascii="Times New Roman" w:hAnsi="Times New Roman"/>
          <w:sz w:val="24"/>
          <w:szCs w:val="24"/>
        </w:rPr>
        <w:t>Перелік документів, що додаються:</w:t>
      </w:r>
    </w:p>
    <w:p w14:paraId="31D40A63" w14:textId="77777777" w:rsidR="005F1999" w:rsidRPr="00BE5CE9" w:rsidRDefault="005F1999" w:rsidP="005F1999">
      <w:pPr>
        <w:rPr>
          <w:rFonts w:ascii="Times New Roman" w:hAnsi="Times New Roman"/>
          <w:sz w:val="24"/>
          <w:szCs w:val="24"/>
        </w:rPr>
      </w:pPr>
    </w:p>
    <w:tbl>
      <w:tblPr>
        <w:tblW w:w="0" w:type="auto"/>
        <w:tblLook w:val="04A0" w:firstRow="1" w:lastRow="0" w:firstColumn="1" w:lastColumn="0" w:noHBand="0" w:noVBand="1"/>
      </w:tblPr>
      <w:tblGrid>
        <w:gridCol w:w="1531"/>
        <w:gridCol w:w="4762"/>
        <w:gridCol w:w="1569"/>
        <w:gridCol w:w="1209"/>
      </w:tblGrid>
      <w:tr w:rsidR="005F1999" w:rsidRPr="00BE5CE9" w14:paraId="5920850E" w14:textId="77777777" w:rsidTr="0069079E">
        <w:trPr>
          <w:trHeight w:val="955"/>
        </w:trPr>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E9F3A34" w14:textId="77777777" w:rsidR="005F1999" w:rsidRPr="00BE5CE9" w:rsidRDefault="005F1999" w:rsidP="0069079E">
            <w:pPr>
              <w:spacing w:before="195"/>
              <w:ind w:left="145" w:right="105" w:hanging="18"/>
              <w:jc w:val="center"/>
              <w:rPr>
                <w:rFonts w:ascii="Times New Roman" w:hAnsi="Times New Roman"/>
                <w:sz w:val="24"/>
                <w:szCs w:val="24"/>
              </w:rPr>
            </w:pPr>
            <w:r w:rsidRPr="00BE5CE9">
              <w:rPr>
                <w:rFonts w:ascii="Times New Roman" w:hAnsi="Times New Roman"/>
                <w:sz w:val="24"/>
                <w:szCs w:val="24"/>
              </w:rPr>
              <w:t>Порядковий номер</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D88A63F" w14:textId="77777777" w:rsidR="005F1999" w:rsidRPr="00BE5CE9" w:rsidRDefault="005F1999" w:rsidP="0069079E">
            <w:pPr>
              <w:rPr>
                <w:rFonts w:ascii="Times New Roman" w:hAnsi="Times New Roman"/>
                <w:sz w:val="24"/>
                <w:szCs w:val="24"/>
              </w:rPr>
            </w:pPr>
          </w:p>
          <w:p w14:paraId="6E5E920E" w14:textId="77777777" w:rsidR="005F1999" w:rsidRPr="00BE5CE9" w:rsidRDefault="005F1999" w:rsidP="0069079E">
            <w:pPr>
              <w:ind w:left="1830" w:right="1810"/>
              <w:jc w:val="center"/>
              <w:rPr>
                <w:rFonts w:ascii="Times New Roman" w:hAnsi="Times New Roman"/>
                <w:sz w:val="24"/>
                <w:szCs w:val="24"/>
              </w:rPr>
            </w:pPr>
            <w:r w:rsidRPr="00BE5CE9">
              <w:rPr>
                <w:rFonts w:ascii="Times New Roman" w:hAnsi="Times New Roman"/>
                <w:sz w:val="24"/>
                <w:szCs w:val="24"/>
              </w:rPr>
              <w:t>Назва документа</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1614C1" w14:textId="77777777" w:rsidR="005F1999" w:rsidRPr="00BE5CE9" w:rsidRDefault="005F1999" w:rsidP="0069079E">
            <w:pPr>
              <w:spacing w:before="195"/>
              <w:ind w:left="135" w:right="107" w:firstLine="154"/>
              <w:rPr>
                <w:rFonts w:ascii="Times New Roman" w:hAnsi="Times New Roman"/>
                <w:sz w:val="24"/>
                <w:szCs w:val="24"/>
              </w:rPr>
            </w:pPr>
            <w:r w:rsidRPr="00BE5CE9">
              <w:rPr>
                <w:rFonts w:ascii="Times New Roman" w:hAnsi="Times New Roman"/>
                <w:sz w:val="24"/>
                <w:szCs w:val="24"/>
              </w:rPr>
              <w:t>Кількість примірників</w:t>
            </w:r>
          </w:p>
        </w:tc>
        <w:tc>
          <w:tcPr>
            <w:tcW w:w="0" w:type="auto"/>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14:paraId="1326F8B9" w14:textId="77777777" w:rsidR="005F1999" w:rsidRPr="00BE5CE9" w:rsidRDefault="005F1999" w:rsidP="0069079E">
            <w:pPr>
              <w:spacing w:before="57"/>
              <w:ind w:left="115" w:right="103" w:firstLine="10"/>
              <w:jc w:val="center"/>
              <w:rPr>
                <w:rFonts w:ascii="Times New Roman" w:hAnsi="Times New Roman"/>
                <w:sz w:val="24"/>
                <w:szCs w:val="24"/>
              </w:rPr>
            </w:pPr>
            <w:r w:rsidRPr="00BE5CE9">
              <w:rPr>
                <w:rFonts w:ascii="Times New Roman" w:hAnsi="Times New Roman"/>
                <w:sz w:val="24"/>
                <w:szCs w:val="24"/>
              </w:rPr>
              <w:t>Загальна кількість аркушів</w:t>
            </w:r>
          </w:p>
        </w:tc>
      </w:tr>
      <w:tr w:rsidR="005F1999" w:rsidRPr="00BE5CE9" w14:paraId="49D89D8C" w14:textId="77777777" w:rsidTr="0069079E">
        <w:trPr>
          <w:trHeight w:val="403"/>
        </w:trPr>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F9D5E99" w14:textId="77777777" w:rsidR="005F1999" w:rsidRPr="00BE5CE9" w:rsidRDefault="005F1999" w:rsidP="0069079E">
            <w:pPr>
              <w:rPr>
                <w:rFonts w:ascii="Times New Roman" w:hAnsi="Times New Roman"/>
                <w:sz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42FEBA" w14:textId="77777777" w:rsidR="005F1999" w:rsidRPr="00BE5CE9" w:rsidRDefault="005F1999" w:rsidP="0069079E">
            <w:pPr>
              <w:rPr>
                <w:rFonts w:ascii="Times New Roman" w:hAnsi="Times New Roman"/>
                <w:sz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C331C09" w14:textId="77777777" w:rsidR="005F1999" w:rsidRPr="00BE5CE9" w:rsidRDefault="005F1999" w:rsidP="0069079E">
            <w:pPr>
              <w:rPr>
                <w:rFonts w:ascii="Times New Roman" w:hAnsi="Times New Roman"/>
                <w:sz w:val="20"/>
              </w:rPr>
            </w:pPr>
          </w:p>
        </w:tc>
        <w:tc>
          <w:tcPr>
            <w:tcW w:w="0" w:type="auto"/>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14:paraId="6FC73F69" w14:textId="77777777" w:rsidR="005F1999" w:rsidRPr="00BE5CE9" w:rsidRDefault="005F1999" w:rsidP="0069079E">
            <w:pPr>
              <w:rPr>
                <w:rFonts w:ascii="Times New Roman" w:hAnsi="Times New Roman"/>
                <w:sz w:val="20"/>
              </w:rPr>
            </w:pPr>
          </w:p>
        </w:tc>
      </w:tr>
      <w:tr w:rsidR="005F1999" w:rsidRPr="00BE5CE9" w14:paraId="74756803" w14:textId="77777777" w:rsidTr="0069079E">
        <w:trPr>
          <w:trHeight w:val="403"/>
        </w:trPr>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1620EE2F" w14:textId="77777777" w:rsidR="005F1999" w:rsidRPr="00BE5CE9" w:rsidRDefault="005F1999" w:rsidP="0069079E">
            <w:pPr>
              <w:spacing w:before="57"/>
              <w:ind w:left="30"/>
              <w:jc w:val="center"/>
              <w:rPr>
                <w:rFonts w:ascii="Times New Roman" w:hAnsi="Times New Roman"/>
                <w:sz w:val="24"/>
                <w:szCs w:val="24"/>
              </w:rPr>
            </w:pPr>
            <w:r w:rsidRPr="00BE5CE9">
              <w:rPr>
                <w:rFonts w:ascii="Times New Roman" w:hAnsi="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5E5140" w14:textId="77777777" w:rsidR="005F1999" w:rsidRPr="00BE5CE9" w:rsidRDefault="005F1999" w:rsidP="0069079E">
            <w:pPr>
              <w:rPr>
                <w:rFonts w:ascii="Times New Roman" w:hAnsi="Times New Roman"/>
                <w:sz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55FC55D" w14:textId="77777777" w:rsidR="005F1999" w:rsidRPr="00BE5CE9" w:rsidRDefault="005F1999" w:rsidP="0069079E">
            <w:pPr>
              <w:rPr>
                <w:rFonts w:ascii="Times New Roman" w:hAnsi="Times New Roman"/>
                <w:sz w:val="20"/>
              </w:rPr>
            </w:pPr>
          </w:p>
        </w:tc>
        <w:tc>
          <w:tcPr>
            <w:tcW w:w="0" w:type="auto"/>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14:paraId="662354B4" w14:textId="77777777" w:rsidR="005F1999" w:rsidRPr="00BE5CE9" w:rsidRDefault="005F1999" w:rsidP="0069079E">
            <w:pPr>
              <w:rPr>
                <w:rFonts w:ascii="Times New Roman" w:hAnsi="Times New Roman"/>
                <w:sz w:val="20"/>
              </w:rPr>
            </w:pPr>
          </w:p>
        </w:tc>
      </w:tr>
    </w:tbl>
    <w:p w14:paraId="57242723" w14:textId="77777777" w:rsidR="005F1999" w:rsidRPr="00BE5CE9" w:rsidRDefault="005F1999" w:rsidP="005F1999">
      <w:pPr>
        <w:rPr>
          <w:rFonts w:ascii="Times New Roman" w:hAnsi="Times New Roman"/>
          <w:sz w:val="28"/>
          <w:szCs w:val="28"/>
        </w:rPr>
      </w:pPr>
    </w:p>
    <w:p w14:paraId="20FE40DC" w14:textId="77777777" w:rsidR="005F1999" w:rsidRPr="009C2380" w:rsidRDefault="005F1999" w:rsidP="005F1999">
      <w:pPr>
        <w:ind w:left="121" w:firstLine="567"/>
        <w:jc w:val="both"/>
        <w:rPr>
          <w:rFonts w:ascii="Times New Roman" w:hAnsi="Times New Roman"/>
          <w:sz w:val="24"/>
          <w:szCs w:val="24"/>
        </w:rPr>
      </w:pPr>
      <w:r w:rsidRPr="009C2380">
        <w:rPr>
          <w:rFonts w:ascii="Times New Roman" w:hAnsi="Times New Roman"/>
          <w:sz w:val="24"/>
          <w:szCs w:val="24"/>
        </w:rPr>
        <w:t>Достовірність відомостей, зазначених у заяві, підтверджую. Про відповідальність за достовірність наданих документів (відомостей), поданих разом із заявою, поінформований/поінформована.</w:t>
      </w:r>
    </w:p>
    <w:p w14:paraId="550AF4EA" w14:textId="77777777" w:rsidR="005F1999" w:rsidRPr="00BE5CE9" w:rsidRDefault="005F1999" w:rsidP="005F1999">
      <w:pPr>
        <w:spacing w:after="240"/>
        <w:rPr>
          <w:rFonts w:ascii="Times New Roman" w:hAnsi="Times New Roman"/>
          <w:sz w:val="28"/>
          <w:szCs w:val="28"/>
        </w:rPr>
      </w:pPr>
    </w:p>
    <w:p w14:paraId="2062894E" w14:textId="77777777" w:rsidR="005F1999" w:rsidRPr="00BE5CE9" w:rsidRDefault="005F1999" w:rsidP="005F1999">
      <w:pPr>
        <w:ind w:left="404"/>
        <w:rPr>
          <w:rFonts w:ascii="Times New Roman" w:hAnsi="Times New Roman"/>
          <w:sz w:val="24"/>
          <w:szCs w:val="24"/>
        </w:rPr>
      </w:pPr>
    </w:p>
    <w:tbl>
      <w:tblPr>
        <w:tblW w:w="0" w:type="auto"/>
        <w:tblInd w:w="137" w:type="dxa"/>
        <w:tblLook w:val="04A0" w:firstRow="1" w:lastRow="0" w:firstColumn="1" w:lastColumn="0" w:noHBand="0" w:noVBand="1"/>
      </w:tblPr>
      <w:tblGrid>
        <w:gridCol w:w="4111"/>
        <w:gridCol w:w="709"/>
        <w:gridCol w:w="1842"/>
        <w:gridCol w:w="534"/>
        <w:gridCol w:w="1732"/>
      </w:tblGrid>
      <w:tr w:rsidR="005F1999" w:rsidRPr="00BE5CE9" w14:paraId="69D65A0B" w14:textId="77777777" w:rsidTr="0069079E">
        <w:tc>
          <w:tcPr>
            <w:tcW w:w="4111" w:type="dxa"/>
            <w:tcBorders>
              <w:top w:val="nil"/>
              <w:left w:val="nil"/>
              <w:bottom w:val="single" w:sz="4" w:space="0" w:color="auto"/>
              <w:right w:val="nil"/>
            </w:tcBorders>
          </w:tcPr>
          <w:p w14:paraId="7F3A3612" w14:textId="77777777" w:rsidR="005F1999" w:rsidRPr="00BE5CE9" w:rsidRDefault="005F1999" w:rsidP="0069079E">
            <w:pPr>
              <w:widowControl w:val="0"/>
              <w:autoSpaceDE w:val="0"/>
              <w:autoSpaceDN w:val="0"/>
              <w:rPr>
                <w:rFonts w:ascii="Times New Roman" w:hAnsi="Times New Roman"/>
                <w:sz w:val="24"/>
                <w:szCs w:val="24"/>
              </w:rPr>
            </w:pPr>
          </w:p>
        </w:tc>
        <w:tc>
          <w:tcPr>
            <w:tcW w:w="709" w:type="dxa"/>
          </w:tcPr>
          <w:p w14:paraId="77394E57" w14:textId="77777777" w:rsidR="005F1999" w:rsidRPr="00BE5CE9" w:rsidRDefault="005F1999" w:rsidP="0069079E">
            <w:pPr>
              <w:widowControl w:val="0"/>
              <w:autoSpaceDE w:val="0"/>
              <w:autoSpaceDN w:val="0"/>
              <w:rPr>
                <w:rFonts w:ascii="Times New Roman" w:hAnsi="Times New Roman"/>
                <w:sz w:val="24"/>
                <w:szCs w:val="24"/>
              </w:rPr>
            </w:pPr>
          </w:p>
        </w:tc>
        <w:tc>
          <w:tcPr>
            <w:tcW w:w="1842" w:type="dxa"/>
            <w:tcBorders>
              <w:top w:val="nil"/>
              <w:left w:val="nil"/>
              <w:bottom w:val="single" w:sz="4" w:space="0" w:color="auto"/>
              <w:right w:val="nil"/>
            </w:tcBorders>
          </w:tcPr>
          <w:p w14:paraId="6C7F5EE8" w14:textId="77777777" w:rsidR="005F1999" w:rsidRPr="00BE5CE9" w:rsidRDefault="005F1999" w:rsidP="0069079E">
            <w:pPr>
              <w:widowControl w:val="0"/>
              <w:autoSpaceDE w:val="0"/>
              <w:autoSpaceDN w:val="0"/>
              <w:rPr>
                <w:rFonts w:ascii="Times New Roman" w:hAnsi="Times New Roman"/>
                <w:sz w:val="24"/>
                <w:szCs w:val="24"/>
              </w:rPr>
            </w:pPr>
          </w:p>
        </w:tc>
        <w:tc>
          <w:tcPr>
            <w:tcW w:w="534" w:type="dxa"/>
          </w:tcPr>
          <w:p w14:paraId="6D68DB7F" w14:textId="77777777" w:rsidR="005F1999" w:rsidRPr="00BE5CE9" w:rsidRDefault="005F1999" w:rsidP="0069079E">
            <w:pPr>
              <w:widowControl w:val="0"/>
              <w:autoSpaceDE w:val="0"/>
              <w:autoSpaceDN w:val="0"/>
              <w:rPr>
                <w:rFonts w:ascii="Times New Roman" w:hAnsi="Times New Roman"/>
                <w:sz w:val="24"/>
                <w:szCs w:val="24"/>
              </w:rPr>
            </w:pPr>
          </w:p>
        </w:tc>
        <w:tc>
          <w:tcPr>
            <w:tcW w:w="1732" w:type="dxa"/>
            <w:tcBorders>
              <w:top w:val="nil"/>
              <w:left w:val="nil"/>
              <w:bottom w:val="single" w:sz="4" w:space="0" w:color="auto"/>
              <w:right w:val="nil"/>
            </w:tcBorders>
          </w:tcPr>
          <w:p w14:paraId="6AB982A8" w14:textId="77777777" w:rsidR="005F1999" w:rsidRPr="00BE5CE9" w:rsidRDefault="005F1999" w:rsidP="0069079E">
            <w:pPr>
              <w:widowControl w:val="0"/>
              <w:autoSpaceDE w:val="0"/>
              <w:autoSpaceDN w:val="0"/>
              <w:rPr>
                <w:rFonts w:ascii="Times New Roman" w:hAnsi="Times New Roman"/>
                <w:sz w:val="24"/>
                <w:szCs w:val="24"/>
              </w:rPr>
            </w:pPr>
          </w:p>
        </w:tc>
      </w:tr>
      <w:tr w:rsidR="005F1999" w:rsidRPr="00BE5CE9" w14:paraId="098BC1ED" w14:textId="77777777" w:rsidTr="0069079E">
        <w:tc>
          <w:tcPr>
            <w:tcW w:w="4111" w:type="dxa"/>
            <w:tcBorders>
              <w:top w:val="single" w:sz="4" w:space="0" w:color="auto"/>
              <w:left w:val="nil"/>
              <w:bottom w:val="nil"/>
              <w:right w:val="nil"/>
            </w:tcBorders>
            <w:hideMark/>
          </w:tcPr>
          <w:p w14:paraId="5F49513A" w14:textId="6DB70892" w:rsidR="005F1999" w:rsidRPr="00BE5CE9" w:rsidRDefault="005F1999" w:rsidP="0069079E">
            <w:pPr>
              <w:widowControl w:val="0"/>
              <w:autoSpaceDE w:val="0"/>
              <w:autoSpaceDN w:val="0"/>
              <w:jc w:val="center"/>
              <w:rPr>
                <w:rFonts w:ascii="Times New Roman" w:hAnsi="Times New Roman"/>
                <w:sz w:val="24"/>
                <w:szCs w:val="24"/>
              </w:rPr>
            </w:pPr>
            <w:r w:rsidRPr="00BE5CE9">
              <w:rPr>
                <w:rFonts w:ascii="Times New Roman" w:hAnsi="Times New Roman"/>
                <w:sz w:val="20"/>
              </w:rPr>
              <w:t xml:space="preserve">(посада, прізвище, власне ім’я, по батькові (за наявності) керівника юридичної особи / прізвище, власне ім’я, по батькові (за наявності) фізичної </w:t>
            </w:r>
            <w:r w:rsidR="00517E8A">
              <w:rPr>
                <w:rFonts w:ascii="Times New Roman" w:hAnsi="Times New Roman"/>
                <w:sz w:val="20"/>
              </w:rPr>
              <w:t xml:space="preserve">особи </w:t>
            </w:r>
            <w:r w:rsidR="00E219E3">
              <w:rPr>
                <w:rFonts w:ascii="Times New Roman" w:hAnsi="Times New Roman"/>
                <w:sz w:val="20"/>
              </w:rPr>
              <w:t>—</w:t>
            </w:r>
            <w:r w:rsidRPr="00BE5CE9">
              <w:rPr>
                <w:rFonts w:ascii="Times New Roman" w:hAnsi="Times New Roman"/>
                <w:sz w:val="20"/>
              </w:rPr>
              <w:t xml:space="preserve"> підприємця та документ, що підтверджує повноваження уповноваженої особи)</w:t>
            </w:r>
          </w:p>
        </w:tc>
        <w:tc>
          <w:tcPr>
            <w:tcW w:w="709" w:type="dxa"/>
          </w:tcPr>
          <w:p w14:paraId="1ABE1A3B" w14:textId="77777777" w:rsidR="005F1999" w:rsidRPr="00BE5CE9" w:rsidRDefault="005F1999" w:rsidP="0069079E">
            <w:pPr>
              <w:widowControl w:val="0"/>
              <w:autoSpaceDE w:val="0"/>
              <w:autoSpaceDN w:val="0"/>
              <w:jc w:val="center"/>
              <w:rPr>
                <w:rFonts w:ascii="Times New Roman" w:hAnsi="Times New Roman"/>
                <w:sz w:val="24"/>
                <w:szCs w:val="24"/>
              </w:rPr>
            </w:pPr>
          </w:p>
        </w:tc>
        <w:tc>
          <w:tcPr>
            <w:tcW w:w="1842" w:type="dxa"/>
            <w:tcBorders>
              <w:top w:val="single" w:sz="4" w:space="0" w:color="auto"/>
              <w:left w:val="nil"/>
              <w:bottom w:val="nil"/>
              <w:right w:val="nil"/>
            </w:tcBorders>
            <w:hideMark/>
          </w:tcPr>
          <w:p w14:paraId="0A00FC17" w14:textId="77777777" w:rsidR="005F1999" w:rsidRPr="00BE5CE9" w:rsidRDefault="005F1999" w:rsidP="0069079E">
            <w:pPr>
              <w:widowControl w:val="0"/>
              <w:autoSpaceDE w:val="0"/>
              <w:autoSpaceDN w:val="0"/>
              <w:jc w:val="center"/>
              <w:rPr>
                <w:rFonts w:ascii="Times New Roman" w:hAnsi="Times New Roman"/>
                <w:sz w:val="24"/>
                <w:szCs w:val="24"/>
              </w:rPr>
            </w:pPr>
            <w:r w:rsidRPr="00BE5CE9">
              <w:rPr>
                <w:rFonts w:ascii="Times New Roman" w:hAnsi="Times New Roman"/>
                <w:sz w:val="20"/>
              </w:rPr>
              <w:t>(підпис)</w:t>
            </w:r>
          </w:p>
        </w:tc>
        <w:tc>
          <w:tcPr>
            <w:tcW w:w="534" w:type="dxa"/>
          </w:tcPr>
          <w:p w14:paraId="62D3A9BD" w14:textId="77777777" w:rsidR="005F1999" w:rsidRPr="00BE5CE9" w:rsidRDefault="005F1999" w:rsidP="0069079E">
            <w:pPr>
              <w:widowControl w:val="0"/>
              <w:autoSpaceDE w:val="0"/>
              <w:autoSpaceDN w:val="0"/>
              <w:jc w:val="center"/>
              <w:rPr>
                <w:rFonts w:ascii="Times New Roman" w:hAnsi="Times New Roman"/>
                <w:sz w:val="24"/>
                <w:szCs w:val="24"/>
              </w:rPr>
            </w:pPr>
          </w:p>
        </w:tc>
        <w:tc>
          <w:tcPr>
            <w:tcW w:w="1732" w:type="dxa"/>
            <w:tcBorders>
              <w:top w:val="single" w:sz="4" w:space="0" w:color="auto"/>
              <w:left w:val="nil"/>
              <w:bottom w:val="nil"/>
              <w:right w:val="nil"/>
            </w:tcBorders>
            <w:hideMark/>
          </w:tcPr>
          <w:p w14:paraId="6D239804" w14:textId="77777777" w:rsidR="005F1999" w:rsidRPr="00BE5CE9" w:rsidRDefault="005F1999" w:rsidP="0069079E">
            <w:pPr>
              <w:widowControl w:val="0"/>
              <w:autoSpaceDE w:val="0"/>
              <w:autoSpaceDN w:val="0"/>
              <w:jc w:val="center"/>
              <w:rPr>
                <w:rFonts w:ascii="Times New Roman" w:hAnsi="Times New Roman"/>
                <w:sz w:val="24"/>
                <w:szCs w:val="24"/>
              </w:rPr>
            </w:pPr>
            <w:r w:rsidRPr="00BE5CE9">
              <w:rPr>
                <w:rFonts w:ascii="Times New Roman" w:hAnsi="Times New Roman"/>
                <w:sz w:val="20"/>
              </w:rPr>
              <w:t>(дата)</w:t>
            </w:r>
          </w:p>
        </w:tc>
      </w:tr>
    </w:tbl>
    <w:p w14:paraId="1A81B803" w14:textId="77777777" w:rsidR="005F1999" w:rsidRDefault="005F1999" w:rsidP="005F1999">
      <w:pPr>
        <w:spacing w:after="0" w:line="240" w:lineRule="auto"/>
        <w:ind w:left="6096"/>
        <w:rPr>
          <w:rFonts w:ascii="Times New Roman" w:eastAsia="Times New Roman" w:hAnsi="Times New Roman" w:cs="Times New Roman"/>
          <w:sz w:val="24"/>
          <w:szCs w:val="24"/>
        </w:rPr>
      </w:pPr>
    </w:p>
    <w:p w14:paraId="434F6388" w14:textId="77777777" w:rsidR="005F1999" w:rsidRDefault="005F1999" w:rsidP="005F1999">
      <w:pPr>
        <w:spacing w:after="0" w:line="240" w:lineRule="auto"/>
        <w:ind w:left="6096"/>
        <w:rPr>
          <w:rFonts w:ascii="Times New Roman" w:eastAsia="Times New Roman" w:hAnsi="Times New Roman" w:cs="Times New Roman"/>
          <w:sz w:val="24"/>
          <w:szCs w:val="24"/>
        </w:rPr>
      </w:pPr>
    </w:p>
    <w:p w14:paraId="37EBE5D6" w14:textId="77777777" w:rsidR="005F1999" w:rsidRDefault="005F1999" w:rsidP="005F1999">
      <w:pPr>
        <w:spacing w:after="0" w:line="240" w:lineRule="auto"/>
        <w:ind w:left="6096"/>
        <w:rPr>
          <w:rFonts w:ascii="Times New Roman" w:eastAsia="Times New Roman" w:hAnsi="Times New Roman" w:cs="Times New Roman"/>
          <w:sz w:val="24"/>
          <w:szCs w:val="24"/>
        </w:rPr>
      </w:pPr>
    </w:p>
    <w:p w14:paraId="0A8C768C" w14:textId="6C357735" w:rsidR="00E817EE" w:rsidRDefault="00E817EE" w:rsidP="00E817EE">
      <w:pPr>
        <w:spacing w:after="0" w:line="240" w:lineRule="auto"/>
        <w:jc w:val="center"/>
        <w:rPr>
          <w:rFonts w:ascii="Times New Roman" w:eastAsia="Times New Roman" w:hAnsi="Times New Roman" w:cs="Times New Roman"/>
          <w:sz w:val="24"/>
          <w:szCs w:val="24"/>
        </w:rPr>
        <w:sectPr w:rsidR="00E817EE" w:rsidSect="00E310F9">
          <w:headerReference w:type="default" r:id="rId9"/>
          <w:pgSz w:w="11906" w:h="16838"/>
          <w:pgMar w:top="1134" w:right="1134" w:bottom="1134" w:left="1701" w:header="510" w:footer="0" w:gutter="0"/>
          <w:pgNumType w:start="1"/>
          <w:cols w:space="720"/>
          <w:titlePg/>
        </w:sectPr>
      </w:pPr>
      <w:r>
        <w:rPr>
          <w:rFonts w:ascii="Times New Roman" w:eastAsia="Times New Roman" w:hAnsi="Times New Roman" w:cs="Times New Roman"/>
          <w:sz w:val="24"/>
          <w:szCs w:val="24"/>
        </w:rPr>
        <w:t>_____________________</w:t>
      </w:r>
    </w:p>
    <w:p w14:paraId="0D2EB961" w14:textId="45B34C8C" w:rsidR="005F1999" w:rsidRDefault="005F1999" w:rsidP="00A83265">
      <w:pPr>
        <w:spacing w:after="0" w:line="240" w:lineRule="auto"/>
        <w:rPr>
          <w:rFonts w:ascii="Times New Roman" w:eastAsia="Times New Roman" w:hAnsi="Times New Roman" w:cs="Times New Roman"/>
          <w:sz w:val="24"/>
          <w:szCs w:val="24"/>
        </w:rPr>
      </w:pPr>
    </w:p>
    <w:p w14:paraId="0D551707" w14:textId="49AC8A9D" w:rsidR="005F1999" w:rsidRPr="005F1999" w:rsidRDefault="005F1999" w:rsidP="00E817EE">
      <w:pPr>
        <w:spacing w:after="0" w:line="240" w:lineRule="auto"/>
        <w:ind w:left="6096"/>
        <w:jc w:val="center"/>
        <w:rPr>
          <w:rFonts w:ascii="Times New Roman" w:eastAsia="Times New Roman" w:hAnsi="Times New Roman" w:cs="Times New Roman"/>
          <w:sz w:val="24"/>
          <w:szCs w:val="24"/>
        </w:rPr>
      </w:pPr>
      <w:r w:rsidRPr="005F1999">
        <w:rPr>
          <w:rFonts w:ascii="Times New Roman" w:eastAsia="Times New Roman" w:hAnsi="Times New Roman" w:cs="Times New Roman"/>
          <w:sz w:val="24"/>
          <w:szCs w:val="24"/>
        </w:rPr>
        <w:t>Додаток 2</w:t>
      </w:r>
      <w:r w:rsidRPr="005F1999">
        <w:rPr>
          <w:rFonts w:ascii="Times New Roman" w:eastAsia="Times New Roman" w:hAnsi="Times New Roman" w:cs="Times New Roman"/>
          <w:sz w:val="24"/>
          <w:szCs w:val="24"/>
        </w:rPr>
        <w:br/>
        <w:t xml:space="preserve">до Порядку </w:t>
      </w:r>
    </w:p>
    <w:p w14:paraId="14611541" w14:textId="77777777" w:rsidR="005F1999" w:rsidRPr="005F1999" w:rsidRDefault="005F1999" w:rsidP="005F1999">
      <w:pPr>
        <w:spacing w:after="0" w:line="240" w:lineRule="auto"/>
        <w:ind w:left="6096"/>
        <w:jc w:val="center"/>
        <w:rPr>
          <w:rFonts w:ascii="Times New Roman" w:eastAsia="Times New Roman" w:hAnsi="Times New Roman" w:cs="Times New Roman"/>
          <w:sz w:val="24"/>
          <w:szCs w:val="24"/>
        </w:rPr>
      </w:pPr>
    </w:p>
    <w:p w14:paraId="6B790A72" w14:textId="77777777" w:rsidR="005F1999" w:rsidRPr="005F1999" w:rsidRDefault="005F1999" w:rsidP="005F1999">
      <w:pPr>
        <w:spacing w:after="0" w:line="240" w:lineRule="auto"/>
        <w:jc w:val="center"/>
        <w:rPr>
          <w:rFonts w:ascii="Times New Roman" w:eastAsia="Times New Roman" w:hAnsi="Times New Roman" w:cs="Times New Roman"/>
          <w:sz w:val="28"/>
          <w:szCs w:val="28"/>
        </w:rPr>
      </w:pPr>
      <w:r w:rsidRPr="005F1999">
        <w:rPr>
          <w:rFonts w:ascii="Times New Roman" w:eastAsia="Times New Roman" w:hAnsi="Times New Roman" w:cs="Times New Roman"/>
          <w:sz w:val="28"/>
          <w:szCs w:val="28"/>
        </w:rPr>
        <w:t>ПЕРЕЛІК</w:t>
      </w:r>
    </w:p>
    <w:p w14:paraId="1D929B39" w14:textId="057A5217" w:rsidR="005F1999" w:rsidRPr="005F1999" w:rsidRDefault="005F1999" w:rsidP="005F1999">
      <w:pPr>
        <w:spacing w:after="0" w:line="240" w:lineRule="auto"/>
        <w:jc w:val="center"/>
        <w:rPr>
          <w:rFonts w:ascii="Times New Roman" w:eastAsia="Times New Roman" w:hAnsi="Times New Roman" w:cs="Times New Roman"/>
          <w:sz w:val="28"/>
          <w:szCs w:val="28"/>
        </w:rPr>
      </w:pPr>
      <w:r w:rsidRPr="005F1999">
        <w:rPr>
          <w:rFonts w:ascii="Times New Roman" w:eastAsia="Times New Roman" w:hAnsi="Times New Roman" w:cs="Times New Roman"/>
          <w:sz w:val="28"/>
          <w:szCs w:val="28"/>
        </w:rPr>
        <w:t xml:space="preserve">послуг з </w:t>
      </w:r>
      <w:r>
        <w:rPr>
          <w:rFonts w:ascii="Times New Roman" w:eastAsia="Times New Roman" w:hAnsi="Times New Roman" w:cs="Times New Roman"/>
          <w:sz w:val="28"/>
          <w:szCs w:val="28"/>
        </w:rPr>
        <w:t xml:space="preserve">адаптації для </w:t>
      </w:r>
      <w:r>
        <w:rPr>
          <w:rFonts w:ascii="Times New Roman" w:hAnsi="Times New Roman"/>
          <w:color w:val="000000"/>
          <w:sz w:val="28"/>
          <w:szCs w:val="28"/>
        </w:rPr>
        <w:t>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r>
        <w:rPr>
          <w:rFonts w:ascii="Times New Roman" w:eastAsia="Times New Roman" w:hAnsi="Times New Roman" w:cs="Times New Roman"/>
          <w:sz w:val="28"/>
          <w:szCs w:val="28"/>
        </w:rPr>
        <w:t xml:space="preserve">, </w:t>
      </w:r>
      <w:r w:rsidRPr="005F1999">
        <w:rPr>
          <w:rFonts w:ascii="Times New Roman" w:eastAsia="Times New Roman" w:hAnsi="Times New Roman" w:cs="Times New Roman"/>
          <w:sz w:val="28"/>
          <w:szCs w:val="28"/>
        </w:rPr>
        <w:t>які має право надавати</w:t>
      </w:r>
      <w:r>
        <w:rPr>
          <w:rFonts w:ascii="Times New Roman" w:eastAsia="Times New Roman" w:hAnsi="Times New Roman" w:cs="Times New Roman"/>
          <w:sz w:val="28"/>
          <w:szCs w:val="28"/>
        </w:rPr>
        <w:t xml:space="preserve"> </w:t>
      </w:r>
      <w:r w:rsidRPr="005F1999">
        <w:rPr>
          <w:rFonts w:ascii="Times New Roman" w:eastAsia="Times New Roman" w:hAnsi="Times New Roman" w:cs="Times New Roman"/>
          <w:sz w:val="28"/>
          <w:szCs w:val="28"/>
        </w:rPr>
        <w:t>суб’єкт надання послуг, їх зміст та обсяг, умови і порядок отримання</w:t>
      </w:r>
    </w:p>
    <w:p w14:paraId="1C598B16" w14:textId="77777777" w:rsidR="005F1999" w:rsidRPr="005F1999" w:rsidRDefault="005F1999" w:rsidP="005F1999">
      <w:pPr>
        <w:spacing w:after="0" w:line="240" w:lineRule="auto"/>
        <w:jc w:val="center"/>
        <w:rPr>
          <w:rFonts w:ascii="Times New Roman" w:eastAsia="Times New Roman" w:hAnsi="Times New Roman" w:cs="Times New Roman"/>
          <w:sz w:val="28"/>
          <w:szCs w:val="28"/>
        </w:rPr>
      </w:pPr>
    </w:p>
    <w:p w14:paraId="3239995E" w14:textId="77777777" w:rsidR="005F1999" w:rsidRPr="005F1999" w:rsidRDefault="005F1999" w:rsidP="005F1999">
      <w:pPr>
        <w:spacing w:after="0" w:line="240" w:lineRule="auto"/>
        <w:rPr>
          <w:rFonts w:ascii="Times New Roman" w:eastAsia="Times New Roman" w:hAnsi="Times New Roman" w:cs="Times New Roman"/>
          <w:sz w:val="24"/>
          <w:szCs w:val="24"/>
        </w:rPr>
      </w:pPr>
      <w:r w:rsidRPr="005F1999">
        <w:rPr>
          <w:rFonts w:ascii="Times New Roman" w:eastAsia="Times New Roman" w:hAnsi="Times New Roman" w:cs="Times New Roman"/>
          <w:sz w:val="24"/>
          <w:szCs w:val="24"/>
        </w:rPr>
        <w:t>___________________________________________________________________________</w:t>
      </w:r>
    </w:p>
    <w:p w14:paraId="66BD84D6" w14:textId="5DF98CFB" w:rsidR="005F1999" w:rsidRPr="005F1999" w:rsidRDefault="005F1999" w:rsidP="005F1999">
      <w:pPr>
        <w:spacing w:after="0" w:line="240" w:lineRule="auto"/>
        <w:ind w:right="3"/>
        <w:jc w:val="center"/>
        <w:rPr>
          <w:rFonts w:ascii="Times New Roman" w:eastAsia="Times New Roman" w:hAnsi="Times New Roman" w:cs="Times New Roman"/>
          <w:sz w:val="24"/>
          <w:szCs w:val="24"/>
        </w:rPr>
      </w:pPr>
      <w:r w:rsidRPr="005F1999">
        <w:rPr>
          <w:rFonts w:ascii="Times New Roman" w:eastAsia="Times New Roman" w:hAnsi="Times New Roman" w:cs="Times New Roman"/>
          <w:sz w:val="20"/>
          <w:szCs w:val="20"/>
        </w:rPr>
        <w:t xml:space="preserve">(найменування юридичної особи / прізвище, власне ім’я, по батькові </w:t>
      </w:r>
      <w:r w:rsidRPr="005F1999">
        <w:rPr>
          <w:rFonts w:ascii="Times New Roman" w:eastAsia="Times New Roman" w:hAnsi="Times New Roman" w:cs="Times New Roman"/>
          <w:sz w:val="20"/>
          <w:szCs w:val="20"/>
        </w:rPr>
        <w:br/>
        <w:t xml:space="preserve">(за наявності) фізичної </w:t>
      </w:r>
      <w:r w:rsidR="00517E8A">
        <w:rPr>
          <w:rFonts w:ascii="Times New Roman" w:eastAsia="Times New Roman" w:hAnsi="Times New Roman" w:cs="Times New Roman"/>
          <w:sz w:val="20"/>
          <w:szCs w:val="20"/>
        </w:rPr>
        <w:t xml:space="preserve">особи </w:t>
      </w:r>
      <w:r w:rsidR="00E219E3">
        <w:rPr>
          <w:rFonts w:ascii="Times New Roman" w:eastAsia="Times New Roman" w:hAnsi="Times New Roman" w:cs="Times New Roman"/>
          <w:sz w:val="20"/>
          <w:szCs w:val="20"/>
        </w:rPr>
        <w:t>—</w:t>
      </w:r>
      <w:r w:rsidRPr="005F1999">
        <w:rPr>
          <w:rFonts w:ascii="Times New Roman" w:eastAsia="Times New Roman" w:hAnsi="Times New Roman" w:cs="Times New Roman"/>
          <w:sz w:val="20"/>
          <w:szCs w:val="20"/>
        </w:rPr>
        <w:t xml:space="preserve"> підприємця)</w:t>
      </w:r>
    </w:p>
    <w:p w14:paraId="0F9DEFD8" w14:textId="77777777" w:rsidR="005F1999" w:rsidRPr="005F1999" w:rsidRDefault="005F1999" w:rsidP="005F1999">
      <w:pPr>
        <w:spacing w:before="170" w:after="0" w:line="240" w:lineRule="auto"/>
        <w:ind w:left="404"/>
        <w:rPr>
          <w:rFonts w:ascii="Times New Roman" w:eastAsia="Times New Roman" w:hAnsi="Times New Roman" w:cs="Times New Roman"/>
          <w:sz w:val="24"/>
          <w:szCs w:val="24"/>
        </w:rPr>
      </w:pPr>
      <w:r w:rsidRPr="005F1999">
        <w:rPr>
          <w:rFonts w:ascii="Times New Roman" w:eastAsia="Times New Roman" w:hAnsi="Times New Roman" w:cs="Times New Roman"/>
          <w:sz w:val="24"/>
          <w:szCs w:val="24"/>
        </w:rPr>
        <w:t>Інформація про послуги:</w:t>
      </w:r>
    </w:p>
    <w:p w14:paraId="3906ECBD" w14:textId="77777777" w:rsidR="005F1999" w:rsidRPr="005F1999" w:rsidRDefault="005F1999" w:rsidP="005F1999">
      <w:pPr>
        <w:spacing w:after="240" w:line="240" w:lineRule="auto"/>
        <w:rPr>
          <w:rFonts w:ascii="Times New Roman" w:eastAsia="Times New Roman" w:hAnsi="Times New Roman" w:cs="Times New Roman"/>
          <w:sz w:val="24"/>
          <w:szCs w:val="24"/>
        </w:rPr>
      </w:pPr>
    </w:p>
    <w:tbl>
      <w:tblPr>
        <w:tblW w:w="9639" w:type="dxa"/>
        <w:tblLook w:val="04A0" w:firstRow="1" w:lastRow="0" w:firstColumn="1" w:lastColumn="0" w:noHBand="0" w:noVBand="1"/>
      </w:tblPr>
      <w:tblGrid>
        <w:gridCol w:w="1859"/>
        <w:gridCol w:w="2022"/>
        <w:gridCol w:w="2830"/>
        <w:gridCol w:w="2928"/>
      </w:tblGrid>
      <w:tr w:rsidR="005F1999" w:rsidRPr="005F1999" w14:paraId="30E6CF51" w14:textId="77777777" w:rsidTr="0069079E">
        <w:trPr>
          <w:trHeight w:val="679"/>
        </w:trPr>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59B4DC23" w14:textId="77777777" w:rsidR="005F1999" w:rsidRPr="005F1999" w:rsidRDefault="005F1999" w:rsidP="005F1999">
            <w:pPr>
              <w:spacing w:before="57" w:after="0" w:line="240" w:lineRule="auto"/>
              <w:ind w:left="190" w:right="150" w:hanging="190"/>
              <w:jc w:val="center"/>
              <w:rPr>
                <w:rFonts w:ascii="Times New Roman" w:eastAsia="Times New Roman" w:hAnsi="Times New Roman" w:cs="Times New Roman"/>
                <w:sz w:val="24"/>
                <w:szCs w:val="24"/>
              </w:rPr>
            </w:pPr>
            <w:r w:rsidRPr="005F1999">
              <w:rPr>
                <w:rFonts w:ascii="Times New Roman" w:eastAsia="Times New Roman" w:hAnsi="Times New Roman" w:cs="Times New Roman"/>
                <w:sz w:val="24"/>
                <w:szCs w:val="24"/>
              </w:rPr>
              <w:t>Порядковий номер</w:t>
            </w:r>
          </w:p>
        </w:tc>
        <w:tc>
          <w:tcPr>
            <w:tcW w:w="20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6DFD84" w14:textId="77777777" w:rsidR="005F1999" w:rsidRPr="005F1999" w:rsidRDefault="005F1999" w:rsidP="005F1999">
            <w:pPr>
              <w:spacing w:before="57" w:after="0" w:line="240" w:lineRule="auto"/>
              <w:ind w:left="81"/>
              <w:jc w:val="center"/>
              <w:rPr>
                <w:rFonts w:ascii="Times New Roman" w:eastAsia="Times New Roman" w:hAnsi="Times New Roman" w:cs="Times New Roman"/>
                <w:sz w:val="24"/>
                <w:szCs w:val="24"/>
              </w:rPr>
            </w:pPr>
            <w:r w:rsidRPr="005F1999">
              <w:rPr>
                <w:rFonts w:ascii="Times New Roman" w:eastAsia="Times New Roman" w:hAnsi="Times New Roman" w:cs="Times New Roman"/>
                <w:sz w:val="24"/>
                <w:szCs w:val="24"/>
              </w:rPr>
              <w:t>Назва послуги</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A3596A" w14:textId="77777777" w:rsidR="005F1999" w:rsidRPr="005F1999" w:rsidRDefault="005F1999" w:rsidP="005F1999">
            <w:pPr>
              <w:spacing w:before="57" w:after="0" w:line="240" w:lineRule="auto"/>
              <w:ind w:left="264" w:right="62" w:firstLine="15"/>
              <w:jc w:val="center"/>
              <w:rPr>
                <w:rFonts w:ascii="Times New Roman" w:eastAsia="Times New Roman" w:hAnsi="Times New Roman" w:cs="Times New Roman"/>
                <w:sz w:val="24"/>
                <w:szCs w:val="24"/>
              </w:rPr>
            </w:pPr>
            <w:r w:rsidRPr="005F1999">
              <w:rPr>
                <w:rFonts w:ascii="Times New Roman" w:eastAsia="Times New Roman" w:hAnsi="Times New Roman" w:cs="Times New Roman"/>
                <w:sz w:val="24"/>
                <w:szCs w:val="24"/>
              </w:rPr>
              <w:t>Короткий зміст та обсяг послуги</w:t>
            </w:r>
          </w:p>
        </w:tc>
        <w:tc>
          <w:tcPr>
            <w:tcW w:w="2928" w:type="dxa"/>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14:paraId="6DAA14A4" w14:textId="77777777" w:rsidR="005F1999" w:rsidRPr="005F1999" w:rsidRDefault="005F1999" w:rsidP="005F1999">
            <w:pPr>
              <w:spacing w:before="57" w:after="0" w:line="240" w:lineRule="auto"/>
              <w:ind w:left="346" w:right="323" w:firstLine="136"/>
              <w:rPr>
                <w:rFonts w:ascii="Times New Roman" w:eastAsia="Times New Roman" w:hAnsi="Times New Roman" w:cs="Times New Roman"/>
                <w:sz w:val="24"/>
                <w:szCs w:val="24"/>
              </w:rPr>
            </w:pPr>
            <w:r w:rsidRPr="005F1999">
              <w:rPr>
                <w:rFonts w:ascii="Times New Roman" w:eastAsia="Times New Roman" w:hAnsi="Times New Roman" w:cs="Times New Roman"/>
                <w:sz w:val="24"/>
                <w:szCs w:val="24"/>
              </w:rPr>
              <w:t>Умови і порядок отримання послуги</w:t>
            </w:r>
          </w:p>
        </w:tc>
      </w:tr>
      <w:tr w:rsidR="005F1999" w:rsidRPr="005F1999" w14:paraId="3396BF79" w14:textId="77777777" w:rsidTr="0069079E">
        <w:trPr>
          <w:trHeight w:val="391"/>
        </w:trPr>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1AC1418" w14:textId="77777777" w:rsidR="005F1999" w:rsidRPr="005F1999" w:rsidRDefault="005F1999" w:rsidP="005F1999">
            <w:pPr>
              <w:spacing w:after="0" w:line="240" w:lineRule="auto"/>
              <w:rPr>
                <w:rFonts w:ascii="Times New Roman" w:eastAsia="Times New Roman" w:hAnsi="Times New Roman" w:cs="Times New Roman"/>
                <w:sz w:val="20"/>
                <w:szCs w:val="20"/>
              </w:rPr>
            </w:pPr>
          </w:p>
        </w:tc>
        <w:tc>
          <w:tcPr>
            <w:tcW w:w="20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8BA300" w14:textId="77777777" w:rsidR="005F1999" w:rsidRPr="005F1999" w:rsidRDefault="005F1999" w:rsidP="005F1999">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F91F60" w14:textId="77777777" w:rsidR="005F1999" w:rsidRPr="005F1999" w:rsidRDefault="005F1999" w:rsidP="005F1999">
            <w:pPr>
              <w:spacing w:after="0" w:line="240" w:lineRule="auto"/>
              <w:rPr>
                <w:rFonts w:ascii="Times New Roman" w:eastAsia="Times New Roman" w:hAnsi="Times New Roman" w:cs="Times New Roman"/>
                <w:sz w:val="20"/>
                <w:szCs w:val="20"/>
              </w:rPr>
            </w:pPr>
          </w:p>
        </w:tc>
        <w:tc>
          <w:tcPr>
            <w:tcW w:w="2928" w:type="dxa"/>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14:paraId="243580B1" w14:textId="77777777" w:rsidR="005F1999" w:rsidRPr="005F1999" w:rsidRDefault="005F1999" w:rsidP="005F1999">
            <w:pPr>
              <w:spacing w:after="0" w:line="240" w:lineRule="auto"/>
              <w:rPr>
                <w:rFonts w:ascii="Times New Roman" w:eastAsia="Times New Roman" w:hAnsi="Times New Roman" w:cs="Times New Roman"/>
                <w:sz w:val="20"/>
                <w:szCs w:val="20"/>
              </w:rPr>
            </w:pPr>
          </w:p>
        </w:tc>
      </w:tr>
      <w:tr w:rsidR="005F1999" w:rsidRPr="005F1999" w14:paraId="1AF1F321" w14:textId="77777777" w:rsidTr="0069079E">
        <w:trPr>
          <w:trHeight w:val="391"/>
        </w:trPr>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393C4F23" w14:textId="77777777" w:rsidR="005F1999" w:rsidRPr="005F1999" w:rsidRDefault="005F1999" w:rsidP="005F1999">
            <w:pPr>
              <w:spacing w:after="0" w:line="240" w:lineRule="auto"/>
              <w:rPr>
                <w:rFonts w:ascii="Times New Roman" w:eastAsia="Times New Roman" w:hAnsi="Times New Roman" w:cs="Times New Roman"/>
                <w:sz w:val="20"/>
                <w:szCs w:val="20"/>
              </w:rPr>
            </w:pPr>
          </w:p>
        </w:tc>
        <w:tc>
          <w:tcPr>
            <w:tcW w:w="20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B4C4CF" w14:textId="77777777" w:rsidR="005F1999" w:rsidRPr="005F1999" w:rsidRDefault="005F1999" w:rsidP="005F1999">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EF23E7" w14:textId="77777777" w:rsidR="005F1999" w:rsidRPr="005F1999" w:rsidRDefault="005F1999" w:rsidP="005F1999">
            <w:pPr>
              <w:spacing w:after="0" w:line="240" w:lineRule="auto"/>
              <w:rPr>
                <w:rFonts w:ascii="Times New Roman" w:eastAsia="Times New Roman" w:hAnsi="Times New Roman" w:cs="Times New Roman"/>
                <w:sz w:val="20"/>
                <w:szCs w:val="20"/>
              </w:rPr>
            </w:pPr>
          </w:p>
        </w:tc>
        <w:tc>
          <w:tcPr>
            <w:tcW w:w="2928" w:type="dxa"/>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14:paraId="1F40FB35" w14:textId="77777777" w:rsidR="005F1999" w:rsidRPr="005F1999" w:rsidRDefault="005F1999" w:rsidP="005F1999">
            <w:pPr>
              <w:spacing w:after="0" w:line="240" w:lineRule="auto"/>
              <w:rPr>
                <w:rFonts w:ascii="Times New Roman" w:eastAsia="Times New Roman" w:hAnsi="Times New Roman" w:cs="Times New Roman"/>
                <w:sz w:val="20"/>
                <w:szCs w:val="20"/>
              </w:rPr>
            </w:pPr>
          </w:p>
        </w:tc>
      </w:tr>
      <w:tr w:rsidR="005F1999" w:rsidRPr="005F1999" w14:paraId="4A33CF13" w14:textId="77777777" w:rsidTr="0069079E">
        <w:trPr>
          <w:trHeight w:val="391"/>
        </w:trPr>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F08E86B" w14:textId="77777777" w:rsidR="005F1999" w:rsidRPr="005F1999" w:rsidRDefault="005F1999" w:rsidP="005F1999">
            <w:pPr>
              <w:spacing w:after="0" w:line="240" w:lineRule="auto"/>
              <w:rPr>
                <w:rFonts w:ascii="Times New Roman" w:eastAsia="Times New Roman" w:hAnsi="Times New Roman" w:cs="Times New Roman"/>
                <w:sz w:val="20"/>
                <w:szCs w:val="20"/>
              </w:rPr>
            </w:pPr>
          </w:p>
        </w:tc>
        <w:tc>
          <w:tcPr>
            <w:tcW w:w="20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C929E3" w14:textId="77777777" w:rsidR="005F1999" w:rsidRPr="005F1999" w:rsidRDefault="005F1999" w:rsidP="005F1999">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58BB35" w14:textId="77777777" w:rsidR="005F1999" w:rsidRPr="005F1999" w:rsidRDefault="005F1999" w:rsidP="005F1999">
            <w:pPr>
              <w:spacing w:after="0" w:line="240" w:lineRule="auto"/>
              <w:rPr>
                <w:rFonts w:ascii="Times New Roman" w:eastAsia="Times New Roman" w:hAnsi="Times New Roman" w:cs="Times New Roman"/>
                <w:sz w:val="20"/>
                <w:szCs w:val="20"/>
              </w:rPr>
            </w:pPr>
          </w:p>
        </w:tc>
        <w:tc>
          <w:tcPr>
            <w:tcW w:w="2928" w:type="dxa"/>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14:paraId="2212E6FA" w14:textId="77777777" w:rsidR="005F1999" w:rsidRPr="005F1999" w:rsidRDefault="005F1999" w:rsidP="005F1999">
            <w:pPr>
              <w:spacing w:after="0" w:line="240" w:lineRule="auto"/>
              <w:rPr>
                <w:rFonts w:ascii="Times New Roman" w:eastAsia="Times New Roman" w:hAnsi="Times New Roman" w:cs="Times New Roman"/>
                <w:sz w:val="20"/>
                <w:szCs w:val="20"/>
              </w:rPr>
            </w:pPr>
          </w:p>
        </w:tc>
      </w:tr>
    </w:tbl>
    <w:p w14:paraId="409BE5F7" w14:textId="77777777" w:rsidR="005F1999" w:rsidRPr="005F1999" w:rsidRDefault="005F1999" w:rsidP="005F1999">
      <w:pPr>
        <w:spacing w:after="0" w:line="240" w:lineRule="auto"/>
        <w:rPr>
          <w:rFonts w:ascii="Times New Roman" w:eastAsia="Times New Roman" w:hAnsi="Times New Roman" w:cs="Times New Roman"/>
          <w:sz w:val="24"/>
          <w:szCs w:val="24"/>
        </w:rPr>
      </w:pPr>
    </w:p>
    <w:p w14:paraId="37D21B4F" w14:textId="77777777" w:rsidR="005F1999" w:rsidRPr="005F1999" w:rsidRDefault="005F1999" w:rsidP="005F1999">
      <w:pPr>
        <w:spacing w:after="0" w:line="240" w:lineRule="auto"/>
        <w:rPr>
          <w:rFonts w:ascii="Times New Roman" w:eastAsia="Times New Roman" w:hAnsi="Times New Roman" w:cs="Times New Roman"/>
          <w:sz w:val="24"/>
          <w:szCs w:val="24"/>
        </w:rPr>
      </w:pPr>
    </w:p>
    <w:tbl>
      <w:tblPr>
        <w:tblW w:w="0" w:type="auto"/>
        <w:tblInd w:w="137" w:type="dxa"/>
        <w:tblLook w:val="04A0" w:firstRow="1" w:lastRow="0" w:firstColumn="1" w:lastColumn="0" w:noHBand="0" w:noVBand="1"/>
      </w:tblPr>
      <w:tblGrid>
        <w:gridCol w:w="4111"/>
        <w:gridCol w:w="709"/>
        <w:gridCol w:w="1842"/>
        <w:gridCol w:w="534"/>
        <w:gridCol w:w="1732"/>
      </w:tblGrid>
      <w:tr w:rsidR="005F1999" w:rsidRPr="005F1999" w14:paraId="70CEAEC2" w14:textId="77777777" w:rsidTr="0069079E">
        <w:tc>
          <w:tcPr>
            <w:tcW w:w="4111" w:type="dxa"/>
            <w:tcBorders>
              <w:top w:val="nil"/>
              <w:left w:val="nil"/>
              <w:bottom w:val="single" w:sz="4" w:space="0" w:color="auto"/>
              <w:right w:val="nil"/>
            </w:tcBorders>
          </w:tcPr>
          <w:p w14:paraId="126E72BB" w14:textId="77777777" w:rsidR="005F1999" w:rsidRPr="005F1999" w:rsidRDefault="005F1999" w:rsidP="005F1999">
            <w:pPr>
              <w:widowControl w:val="0"/>
              <w:autoSpaceDE w:val="0"/>
              <w:autoSpaceDN w:val="0"/>
              <w:spacing w:after="0" w:line="240" w:lineRule="auto"/>
              <w:rPr>
                <w:rFonts w:ascii="Times New Roman" w:hAnsi="Times New Roman" w:cs="Times New Roman"/>
                <w:sz w:val="24"/>
                <w:szCs w:val="24"/>
              </w:rPr>
            </w:pPr>
          </w:p>
        </w:tc>
        <w:tc>
          <w:tcPr>
            <w:tcW w:w="709" w:type="dxa"/>
          </w:tcPr>
          <w:p w14:paraId="323418EC" w14:textId="77777777" w:rsidR="005F1999" w:rsidRPr="005F1999" w:rsidRDefault="005F1999" w:rsidP="005F1999">
            <w:pPr>
              <w:widowControl w:val="0"/>
              <w:autoSpaceDE w:val="0"/>
              <w:autoSpaceDN w:val="0"/>
              <w:spacing w:after="0" w:line="240" w:lineRule="auto"/>
              <w:rPr>
                <w:rFonts w:ascii="Times New Roman" w:hAnsi="Times New Roman" w:cs="Times New Roman"/>
                <w:sz w:val="24"/>
                <w:szCs w:val="24"/>
              </w:rPr>
            </w:pPr>
          </w:p>
        </w:tc>
        <w:tc>
          <w:tcPr>
            <w:tcW w:w="1842" w:type="dxa"/>
            <w:tcBorders>
              <w:top w:val="nil"/>
              <w:left w:val="nil"/>
              <w:bottom w:val="single" w:sz="4" w:space="0" w:color="auto"/>
              <w:right w:val="nil"/>
            </w:tcBorders>
          </w:tcPr>
          <w:p w14:paraId="13ACD6ED" w14:textId="77777777" w:rsidR="005F1999" w:rsidRPr="005F1999" w:rsidRDefault="005F1999" w:rsidP="005F1999">
            <w:pPr>
              <w:widowControl w:val="0"/>
              <w:autoSpaceDE w:val="0"/>
              <w:autoSpaceDN w:val="0"/>
              <w:spacing w:after="0" w:line="240" w:lineRule="auto"/>
              <w:rPr>
                <w:rFonts w:ascii="Times New Roman" w:hAnsi="Times New Roman" w:cs="Times New Roman"/>
                <w:sz w:val="24"/>
                <w:szCs w:val="24"/>
              </w:rPr>
            </w:pPr>
          </w:p>
        </w:tc>
        <w:tc>
          <w:tcPr>
            <w:tcW w:w="534" w:type="dxa"/>
          </w:tcPr>
          <w:p w14:paraId="68BDF69F" w14:textId="77777777" w:rsidR="005F1999" w:rsidRPr="005F1999" w:rsidRDefault="005F1999" w:rsidP="005F1999">
            <w:pPr>
              <w:widowControl w:val="0"/>
              <w:autoSpaceDE w:val="0"/>
              <w:autoSpaceDN w:val="0"/>
              <w:spacing w:after="0" w:line="240" w:lineRule="auto"/>
              <w:rPr>
                <w:rFonts w:ascii="Times New Roman" w:hAnsi="Times New Roman" w:cs="Times New Roman"/>
                <w:sz w:val="24"/>
                <w:szCs w:val="24"/>
              </w:rPr>
            </w:pPr>
          </w:p>
        </w:tc>
        <w:tc>
          <w:tcPr>
            <w:tcW w:w="1732" w:type="dxa"/>
            <w:tcBorders>
              <w:top w:val="nil"/>
              <w:left w:val="nil"/>
              <w:bottom w:val="single" w:sz="4" w:space="0" w:color="auto"/>
              <w:right w:val="nil"/>
            </w:tcBorders>
          </w:tcPr>
          <w:p w14:paraId="5AAB1843" w14:textId="77777777" w:rsidR="005F1999" w:rsidRPr="005F1999" w:rsidRDefault="005F1999" w:rsidP="005F1999">
            <w:pPr>
              <w:widowControl w:val="0"/>
              <w:autoSpaceDE w:val="0"/>
              <w:autoSpaceDN w:val="0"/>
              <w:spacing w:after="0" w:line="240" w:lineRule="auto"/>
              <w:rPr>
                <w:rFonts w:ascii="Times New Roman" w:hAnsi="Times New Roman" w:cs="Times New Roman"/>
                <w:sz w:val="24"/>
                <w:szCs w:val="24"/>
              </w:rPr>
            </w:pPr>
          </w:p>
        </w:tc>
      </w:tr>
      <w:tr w:rsidR="005F1999" w:rsidRPr="005F1999" w14:paraId="24277DC8" w14:textId="77777777" w:rsidTr="0069079E">
        <w:tc>
          <w:tcPr>
            <w:tcW w:w="4111" w:type="dxa"/>
            <w:tcBorders>
              <w:top w:val="single" w:sz="4" w:space="0" w:color="auto"/>
              <w:left w:val="nil"/>
              <w:bottom w:val="nil"/>
              <w:right w:val="nil"/>
            </w:tcBorders>
            <w:hideMark/>
          </w:tcPr>
          <w:p w14:paraId="4413424F" w14:textId="76181F2A" w:rsidR="005F1999" w:rsidRPr="005F1999" w:rsidRDefault="005F1999" w:rsidP="005F1999">
            <w:pPr>
              <w:widowControl w:val="0"/>
              <w:autoSpaceDE w:val="0"/>
              <w:autoSpaceDN w:val="0"/>
              <w:spacing w:after="0" w:line="240" w:lineRule="auto"/>
              <w:jc w:val="center"/>
              <w:rPr>
                <w:rFonts w:ascii="Times New Roman" w:hAnsi="Times New Roman" w:cs="Times New Roman"/>
                <w:sz w:val="24"/>
                <w:szCs w:val="24"/>
              </w:rPr>
            </w:pPr>
            <w:r w:rsidRPr="005F1999">
              <w:rPr>
                <w:rFonts w:ascii="Times New Roman" w:hAnsi="Times New Roman" w:cs="Times New Roman"/>
                <w:sz w:val="5"/>
                <w:szCs w:val="5"/>
              </w:rPr>
              <w:t xml:space="preserve">               </w:t>
            </w:r>
            <w:r w:rsidRPr="005F1999">
              <w:rPr>
                <w:rFonts w:ascii="Times New Roman" w:hAnsi="Times New Roman" w:cs="Times New Roman"/>
                <w:sz w:val="20"/>
                <w:szCs w:val="20"/>
              </w:rPr>
              <w:t xml:space="preserve">(посада, прізвище, власне ім’я, по батькові (за наявності) керівника юридичної особи / прізвище, власне ім’я, по батькові (за наявності) фізичної </w:t>
            </w:r>
            <w:r w:rsidR="00517E8A">
              <w:rPr>
                <w:rFonts w:ascii="Times New Roman" w:hAnsi="Times New Roman" w:cs="Times New Roman"/>
                <w:sz w:val="20"/>
                <w:szCs w:val="20"/>
              </w:rPr>
              <w:t xml:space="preserve">особи </w:t>
            </w:r>
            <w:r w:rsidR="00E219E3">
              <w:rPr>
                <w:rFonts w:ascii="Times New Roman" w:hAnsi="Times New Roman" w:cs="Times New Roman"/>
                <w:sz w:val="20"/>
                <w:szCs w:val="20"/>
              </w:rPr>
              <w:t>—</w:t>
            </w:r>
            <w:r w:rsidRPr="005F1999">
              <w:rPr>
                <w:rFonts w:ascii="Times New Roman" w:hAnsi="Times New Roman" w:cs="Times New Roman"/>
                <w:sz w:val="20"/>
                <w:szCs w:val="20"/>
              </w:rPr>
              <w:t xml:space="preserve"> підприємця та документ, що підтверджує повноваження уповноваженої особи)</w:t>
            </w:r>
          </w:p>
        </w:tc>
        <w:tc>
          <w:tcPr>
            <w:tcW w:w="709" w:type="dxa"/>
          </w:tcPr>
          <w:p w14:paraId="31E3B807" w14:textId="77777777" w:rsidR="005F1999" w:rsidRPr="005F1999" w:rsidRDefault="005F1999" w:rsidP="005F1999">
            <w:pPr>
              <w:widowControl w:val="0"/>
              <w:autoSpaceDE w:val="0"/>
              <w:autoSpaceDN w:val="0"/>
              <w:spacing w:after="0" w:line="240" w:lineRule="auto"/>
              <w:jc w:val="center"/>
              <w:rPr>
                <w:rFonts w:ascii="Times New Roman" w:hAnsi="Times New Roman" w:cs="Times New Roman"/>
                <w:sz w:val="24"/>
                <w:szCs w:val="24"/>
              </w:rPr>
            </w:pPr>
          </w:p>
        </w:tc>
        <w:tc>
          <w:tcPr>
            <w:tcW w:w="1842" w:type="dxa"/>
            <w:tcBorders>
              <w:top w:val="single" w:sz="4" w:space="0" w:color="auto"/>
              <w:left w:val="nil"/>
              <w:bottom w:val="nil"/>
              <w:right w:val="nil"/>
            </w:tcBorders>
            <w:hideMark/>
          </w:tcPr>
          <w:p w14:paraId="0817AA88" w14:textId="77777777" w:rsidR="005F1999" w:rsidRPr="005F1999" w:rsidRDefault="005F1999" w:rsidP="005F1999">
            <w:pPr>
              <w:widowControl w:val="0"/>
              <w:autoSpaceDE w:val="0"/>
              <w:autoSpaceDN w:val="0"/>
              <w:spacing w:after="0" w:line="240" w:lineRule="auto"/>
              <w:jc w:val="center"/>
              <w:rPr>
                <w:rFonts w:ascii="Times New Roman" w:hAnsi="Times New Roman" w:cs="Times New Roman"/>
                <w:sz w:val="24"/>
                <w:szCs w:val="24"/>
              </w:rPr>
            </w:pPr>
            <w:r w:rsidRPr="005F1999">
              <w:rPr>
                <w:rFonts w:ascii="Times New Roman" w:hAnsi="Times New Roman" w:cs="Times New Roman"/>
                <w:sz w:val="20"/>
                <w:szCs w:val="20"/>
              </w:rPr>
              <w:t>(підпис)</w:t>
            </w:r>
          </w:p>
        </w:tc>
        <w:tc>
          <w:tcPr>
            <w:tcW w:w="534" w:type="dxa"/>
          </w:tcPr>
          <w:p w14:paraId="0EF5C98C" w14:textId="77777777" w:rsidR="005F1999" w:rsidRPr="005F1999" w:rsidRDefault="005F1999" w:rsidP="005F1999">
            <w:pPr>
              <w:widowControl w:val="0"/>
              <w:autoSpaceDE w:val="0"/>
              <w:autoSpaceDN w:val="0"/>
              <w:spacing w:after="0" w:line="240" w:lineRule="auto"/>
              <w:jc w:val="center"/>
              <w:rPr>
                <w:rFonts w:ascii="Times New Roman" w:hAnsi="Times New Roman" w:cs="Times New Roman"/>
                <w:sz w:val="24"/>
                <w:szCs w:val="24"/>
              </w:rPr>
            </w:pPr>
          </w:p>
        </w:tc>
        <w:tc>
          <w:tcPr>
            <w:tcW w:w="1732" w:type="dxa"/>
            <w:tcBorders>
              <w:top w:val="single" w:sz="4" w:space="0" w:color="auto"/>
              <w:left w:val="nil"/>
              <w:bottom w:val="nil"/>
              <w:right w:val="nil"/>
            </w:tcBorders>
            <w:hideMark/>
          </w:tcPr>
          <w:p w14:paraId="0641C4CC" w14:textId="77777777" w:rsidR="005F1999" w:rsidRPr="005F1999" w:rsidRDefault="005F1999" w:rsidP="005F1999">
            <w:pPr>
              <w:widowControl w:val="0"/>
              <w:autoSpaceDE w:val="0"/>
              <w:autoSpaceDN w:val="0"/>
              <w:spacing w:after="0" w:line="240" w:lineRule="auto"/>
              <w:jc w:val="center"/>
              <w:rPr>
                <w:rFonts w:ascii="Times New Roman" w:hAnsi="Times New Roman" w:cs="Times New Roman"/>
                <w:sz w:val="24"/>
                <w:szCs w:val="24"/>
              </w:rPr>
            </w:pPr>
            <w:r w:rsidRPr="005F1999">
              <w:rPr>
                <w:rFonts w:ascii="Times New Roman" w:hAnsi="Times New Roman" w:cs="Times New Roman"/>
                <w:sz w:val="20"/>
                <w:szCs w:val="20"/>
              </w:rPr>
              <w:t>(дата)</w:t>
            </w:r>
          </w:p>
        </w:tc>
      </w:tr>
    </w:tbl>
    <w:p w14:paraId="35E503FA" w14:textId="2DD64B56" w:rsidR="005F1999" w:rsidRDefault="005F1999" w:rsidP="00A01D09">
      <w:pPr>
        <w:shd w:val="clear" w:color="auto" w:fill="FFFFFF"/>
        <w:spacing w:after="0" w:line="240" w:lineRule="auto"/>
        <w:ind w:right="724"/>
      </w:pPr>
    </w:p>
    <w:p w14:paraId="111500F4" w14:textId="547AA070" w:rsidR="005F1999" w:rsidRDefault="005F1999" w:rsidP="00A01D09">
      <w:pPr>
        <w:shd w:val="clear" w:color="auto" w:fill="FFFFFF"/>
        <w:spacing w:after="0" w:line="240" w:lineRule="auto"/>
        <w:ind w:right="724"/>
      </w:pPr>
    </w:p>
    <w:p w14:paraId="26F0E66A" w14:textId="77777777" w:rsidR="001E732E" w:rsidRDefault="001E732E" w:rsidP="00A01D09">
      <w:pPr>
        <w:shd w:val="clear" w:color="auto" w:fill="FFFFFF"/>
        <w:spacing w:after="0" w:line="240" w:lineRule="auto"/>
        <w:ind w:right="724"/>
      </w:pPr>
    </w:p>
    <w:p w14:paraId="3F1D3AE0" w14:textId="77777777" w:rsidR="001E732E" w:rsidRDefault="001E732E" w:rsidP="00A01D09">
      <w:pPr>
        <w:shd w:val="clear" w:color="auto" w:fill="FFFFFF"/>
        <w:spacing w:after="0" w:line="240" w:lineRule="auto"/>
        <w:ind w:right="724"/>
      </w:pPr>
    </w:p>
    <w:p w14:paraId="450EC15F" w14:textId="74AF5EB5" w:rsidR="001E732E" w:rsidRPr="009B4D5A" w:rsidRDefault="001E732E" w:rsidP="001E732E">
      <w:pPr>
        <w:shd w:val="clear" w:color="auto" w:fill="FFFFFF"/>
        <w:spacing w:after="0" w:line="240" w:lineRule="auto"/>
        <w:ind w:right="-1"/>
        <w:jc w:val="center"/>
      </w:pPr>
      <w:r>
        <w:t>_____________________________</w:t>
      </w:r>
    </w:p>
    <w:sectPr w:rsidR="001E732E" w:rsidRPr="009B4D5A" w:rsidSect="00E310F9">
      <w:pgSz w:w="11906" w:h="16838"/>
      <w:pgMar w:top="1134" w:right="1134" w:bottom="1134" w:left="1701" w:header="51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47523" w14:textId="77777777" w:rsidR="002265D8" w:rsidRDefault="002265D8">
      <w:pPr>
        <w:spacing w:after="0" w:line="240" w:lineRule="auto"/>
      </w:pPr>
      <w:r>
        <w:separator/>
      </w:r>
    </w:p>
  </w:endnote>
  <w:endnote w:type="continuationSeparator" w:id="0">
    <w:p w14:paraId="00557E80" w14:textId="77777777" w:rsidR="002265D8" w:rsidRDefault="0022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93A0" w14:textId="77777777" w:rsidR="002265D8" w:rsidRDefault="002265D8">
      <w:pPr>
        <w:spacing w:after="0" w:line="240" w:lineRule="auto"/>
      </w:pPr>
      <w:r>
        <w:separator/>
      </w:r>
    </w:p>
  </w:footnote>
  <w:footnote w:type="continuationSeparator" w:id="0">
    <w:p w14:paraId="4F2A14FB" w14:textId="77777777" w:rsidR="002265D8" w:rsidRDefault="0022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0CAC" w14:textId="77777777" w:rsidR="00C82AD7" w:rsidRPr="001341B3" w:rsidRDefault="00C82AD7" w:rsidP="002441FE">
    <w:pPr>
      <w:pBdr>
        <w:top w:val="nil"/>
        <w:left w:val="nil"/>
        <w:bottom w:val="nil"/>
        <w:right w:val="nil"/>
        <w:between w:val="nil"/>
      </w:pBdr>
      <w:tabs>
        <w:tab w:val="center" w:pos="4536"/>
        <w:tab w:val="center" w:pos="4819"/>
        <w:tab w:val="left" w:pos="6096"/>
        <w:tab w:val="right" w:pos="9639"/>
      </w:tabs>
      <w:spacing w:after="0" w:line="240" w:lineRule="auto"/>
      <w:ind w:right="-1"/>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sidRPr="001341B3">
      <w:rPr>
        <w:rFonts w:ascii="Times New Roman" w:eastAsia="Times New Roman" w:hAnsi="Times New Roman" w:cs="Times New Roman"/>
        <w:color w:val="000000"/>
        <w:sz w:val="28"/>
        <w:szCs w:val="28"/>
      </w:rPr>
      <w:fldChar w:fldCharType="begin"/>
    </w:r>
    <w:r w:rsidRPr="001341B3">
      <w:rPr>
        <w:rFonts w:ascii="Times New Roman" w:eastAsia="Times New Roman" w:hAnsi="Times New Roman" w:cs="Times New Roman"/>
        <w:color w:val="000000"/>
        <w:sz w:val="28"/>
        <w:szCs w:val="28"/>
      </w:rPr>
      <w:instrText>PAGE</w:instrText>
    </w:r>
    <w:r w:rsidRPr="001341B3">
      <w:rPr>
        <w:rFonts w:ascii="Times New Roman" w:eastAsia="Times New Roman" w:hAnsi="Times New Roman" w:cs="Times New Roman"/>
        <w:color w:val="000000"/>
        <w:sz w:val="28"/>
        <w:szCs w:val="28"/>
      </w:rPr>
      <w:fldChar w:fldCharType="separate"/>
    </w:r>
    <w:r w:rsidRPr="001341B3">
      <w:rPr>
        <w:rFonts w:ascii="Times New Roman" w:eastAsia="Times New Roman" w:hAnsi="Times New Roman" w:cs="Times New Roman"/>
        <w:noProof/>
        <w:color w:val="000000"/>
        <w:sz w:val="28"/>
        <w:szCs w:val="28"/>
      </w:rPr>
      <w:t>2</w:t>
    </w:r>
    <w:r w:rsidRPr="001341B3">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7" w14:textId="47B7511F" w:rsidR="00123FAC" w:rsidRPr="001341B3" w:rsidRDefault="000E4213" w:rsidP="003C3077">
    <w:pPr>
      <w:pBdr>
        <w:top w:val="nil"/>
        <w:left w:val="nil"/>
        <w:bottom w:val="nil"/>
        <w:right w:val="nil"/>
        <w:between w:val="nil"/>
      </w:pBdr>
      <w:tabs>
        <w:tab w:val="center" w:pos="4819"/>
        <w:tab w:val="right" w:pos="9639"/>
      </w:tabs>
      <w:spacing w:after="0" w:line="240" w:lineRule="auto"/>
      <w:ind w:right="-1"/>
      <w:jc w:val="center"/>
      <w:rPr>
        <w:rFonts w:ascii="Times New Roman" w:eastAsia="Times New Roman" w:hAnsi="Times New Roman" w:cs="Times New Roman"/>
        <w:sz w:val="28"/>
        <w:szCs w:val="28"/>
      </w:rPr>
    </w:pPr>
    <w:r w:rsidRPr="001341B3">
      <w:rPr>
        <w:rFonts w:ascii="Times New Roman" w:eastAsia="Times New Roman" w:hAnsi="Times New Roman" w:cs="Times New Roman"/>
        <w:color w:val="000000"/>
        <w:sz w:val="28"/>
        <w:szCs w:val="28"/>
      </w:rPr>
      <w:fldChar w:fldCharType="begin"/>
    </w:r>
    <w:r w:rsidRPr="001341B3">
      <w:rPr>
        <w:rFonts w:ascii="Times New Roman" w:eastAsia="Times New Roman" w:hAnsi="Times New Roman" w:cs="Times New Roman"/>
        <w:color w:val="000000"/>
        <w:sz w:val="28"/>
        <w:szCs w:val="28"/>
      </w:rPr>
      <w:instrText>PAGE</w:instrText>
    </w:r>
    <w:r w:rsidRPr="001341B3">
      <w:rPr>
        <w:rFonts w:ascii="Times New Roman" w:eastAsia="Times New Roman" w:hAnsi="Times New Roman" w:cs="Times New Roman"/>
        <w:color w:val="000000"/>
        <w:sz w:val="28"/>
        <w:szCs w:val="28"/>
      </w:rPr>
      <w:fldChar w:fldCharType="separate"/>
    </w:r>
    <w:r w:rsidR="009B4D5A" w:rsidRPr="001341B3">
      <w:rPr>
        <w:rFonts w:ascii="Times New Roman" w:eastAsia="Times New Roman" w:hAnsi="Times New Roman" w:cs="Times New Roman"/>
        <w:noProof/>
        <w:color w:val="000000"/>
        <w:sz w:val="28"/>
        <w:szCs w:val="28"/>
      </w:rPr>
      <w:t>2</w:t>
    </w:r>
    <w:r w:rsidRPr="001341B3">
      <w:rPr>
        <w:rFonts w:ascii="Times New Roman" w:eastAsia="Times New Roman" w:hAnsi="Times New Roman" w:cs="Times New Roman"/>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D841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0902897" o:spid="_x0000_i1025" type="#_x0000_t75" style="width:7.5pt;height:7.5pt;visibility:visible;mso-wrap-style:square">
            <v:imagedata r:id="rId1" o:title=""/>
          </v:shape>
        </w:pict>
      </mc:Choice>
      <mc:Fallback>
        <w:drawing>
          <wp:inline distT="0" distB="0" distL="0" distR="0" wp14:anchorId="53441141" wp14:editId="7556C799">
            <wp:extent cx="95250" cy="95250"/>
            <wp:effectExtent l="0" t="0" r="0" b="0"/>
            <wp:docPr id="60902897" name="Рисунок 6090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30903F4D"/>
    <w:multiLevelType w:val="multilevel"/>
    <w:tmpl w:val="73481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9F6553"/>
    <w:multiLevelType w:val="hybridMultilevel"/>
    <w:tmpl w:val="733081FC"/>
    <w:lvl w:ilvl="0" w:tplc="3F3086C4">
      <w:start w:val="1"/>
      <w:numFmt w:val="decimal"/>
      <w:lvlText w:val="%1."/>
      <w:lvlJc w:val="left"/>
      <w:pPr>
        <w:ind w:left="1495" w:hanging="360"/>
      </w:pPr>
      <w:rPr>
        <w:rFonts w:hint="default"/>
        <w:color w:val="000000"/>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FF21237"/>
    <w:multiLevelType w:val="hybridMultilevel"/>
    <w:tmpl w:val="049A07D6"/>
    <w:lvl w:ilvl="0" w:tplc="E4E6DC3E">
      <w:start w:val="1"/>
      <w:numFmt w:val="bullet"/>
      <w:lvlText w:val=""/>
      <w:lvlPicBulletId w:val="0"/>
      <w:lvlJc w:val="left"/>
      <w:pPr>
        <w:tabs>
          <w:tab w:val="num" w:pos="720"/>
        </w:tabs>
        <w:ind w:left="720" w:hanging="360"/>
      </w:pPr>
      <w:rPr>
        <w:rFonts w:ascii="Symbol" w:hAnsi="Symbol" w:hint="default"/>
      </w:rPr>
    </w:lvl>
    <w:lvl w:ilvl="1" w:tplc="E0D262BA">
      <w:start w:val="1"/>
      <w:numFmt w:val="bullet"/>
      <w:lvlText w:val=""/>
      <w:lvlJc w:val="left"/>
      <w:pPr>
        <w:tabs>
          <w:tab w:val="num" w:pos="1440"/>
        </w:tabs>
        <w:ind w:left="1440" w:hanging="360"/>
      </w:pPr>
      <w:rPr>
        <w:rFonts w:ascii="Symbol" w:hAnsi="Symbol" w:hint="default"/>
      </w:rPr>
    </w:lvl>
    <w:lvl w:ilvl="2" w:tplc="E8408630">
      <w:start w:val="1"/>
      <w:numFmt w:val="bullet"/>
      <w:lvlText w:val=""/>
      <w:lvlJc w:val="left"/>
      <w:pPr>
        <w:tabs>
          <w:tab w:val="num" w:pos="2160"/>
        </w:tabs>
        <w:ind w:left="2160" w:hanging="360"/>
      </w:pPr>
      <w:rPr>
        <w:rFonts w:ascii="Symbol" w:hAnsi="Symbol" w:hint="default"/>
      </w:rPr>
    </w:lvl>
    <w:lvl w:ilvl="3" w:tplc="6F048FD8">
      <w:start w:val="1"/>
      <w:numFmt w:val="bullet"/>
      <w:lvlText w:val=""/>
      <w:lvlJc w:val="left"/>
      <w:pPr>
        <w:tabs>
          <w:tab w:val="num" w:pos="2880"/>
        </w:tabs>
        <w:ind w:left="2880" w:hanging="360"/>
      </w:pPr>
      <w:rPr>
        <w:rFonts w:ascii="Symbol" w:hAnsi="Symbol" w:hint="default"/>
      </w:rPr>
    </w:lvl>
    <w:lvl w:ilvl="4" w:tplc="C73CE702">
      <w:start w:val="1"/>
      <w:numFmt w:val="bullet"/>
      <w:lvlText w:val=""/>
      <w:lvlJc w:val="left"/>
      <w:pPr>
        <w:tabs>
          <w:tab w:val="num" w:pos="3600"/>
        </w:tabs>
        <w:ind w:left="3600" w:hanging="360"/>
      </w:pPr>
      <w:rPr>
        <w:rFonts w:ascii="Symbol" w:hAnsi="Symbol" w:hint="default"/>
      </w:rPr>
    </w:lvl>
    <w:lvl w:ilvl="5" w:tplc="D812D280">
      <w:start w:val="1"/>
      <w:numFmt w:val="bullet"/>
      <w:lvlText w:val=""/>
      <w:lvlJc w:val="left"/>
      <w:pPr>
        <w:tabs>
          <w:tab w:val="num" w:pos="4320"/>
        </w:tabs>
        <w:ind w:left="4320" w:hanging="360"/>
      </w:pPr>
      <w:rPr>
        <w:rFonts w:ascii="Symbol" w:hAnsi="Symbol" w:hint="default"/>
      </w:rPr>
    </w:lvl>
    <w:lvl w:ilvl="6" w:tplc="0DD865BA">
      <w:start w:val="1"/>
      <w:numFmt w:val="bullet"/>
      <w:lvlText w:val=""/>
      <w:lvlJc w:val="left"/>
      <w:pPr>
        <w:tabs>
          <w:tab w:val="num" w:pos="5040"/>
        </w:tabs>
        <w:ind w:left="5040" w:hanging="360"/>
      </w:pPr>
      <w:rPr>
        <w:rFonts w:ascii="Symbol" w:hAnsi="Symbol" w:hint="default"/>
      </w:rPr>
    </w:lvl>
    <w:lvl w:ilvl="7" w:tplc="E9FE6B28">
      <w:start w:val="1"/>
      <w:numFmt w:val="bullet"/>
      <w:lvlText w:val=""/>
      <w:lvlJc w:val="left"/>
      <w:pPr>
        <w:tabs>
          <w:tab w:val="num" w:pos="5760"/>
        </w:tabs>
        <w:ind w:left="5760" w:hanging="360"/>
      </w:pPr>
      <w:rPr>
        <w:rFonts w:ascii="Symbol" w:hAnsi="Symbol" w:hint="default"/>
      </w:rPr>
    </w:lvl>
    <w:lvl w:ilvl="8" w:tplc="748E0F3E">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A782E8D"/>
    <w:multiLevelType w:val="multilevel"/>
    <w:tmpl w:val="1E4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607139"/>
    <w:multiLevelType w:val="hybridMultilevel"/>
    <w:tmpl w:val="EA0690A0"/>
    <w:lvl w:ilvl="0" w:tplc="EE42DA86">
      <w:start w:val="1"/>
      <w:numFmt w:val="bullet"/>
      <w:lvlText w:val=""/>
      <w:lvlPicBulletId w:val="0"/>
      <w:lvlJc w:val="left"/>
      <w:pPr>
        <w:tabs>
          <w:tab w:val="num" w:pos="720"/>
        </w:tabs>
        <w:ind w:left="720" w:hanging="360"/>
      </w:pPr>
      <w:rPr>
        <w:rFonts w:ascii="Symbol" w:hAnsi="Symbol" w:hint="default"/>
      </w:rPr>
    </w:lvl>
    <w:lvl w:ilvl="1" w:tplc="CB0898AE">
      <w:start w:val="1"/>
      <w:numFmt w:val="bullet"/>
      <w:lvlText w:val=""/>
      <w:lvlJc w:val="left"/>
      <w:pPr>
        <w:tabs>
          <w:tab w:val="num" w:pos="1440"/>
        </w:tabs>
        <w:ind w:left="1440" w:hanging="360"/>
      </w:pPr>
      <w:rPr>
        <w:rFonts w:ascii="Symbol" w:hAnsi="Symbol" w:hint="default"/>
      </w:rPr>
    </w:lvl>
    <w:lvl w:ilvl="2" w:tplc="CEBEFD4C">
      <w:start w:val="1"/>
      <w:numFmt w:val="bullet"/>
      <w:lvlText w:val=""/>
      <w:lvlJc w:val="left"/>
      <w:pPr>
        <w:tabs>
          <w:tab w:val="num" w:pos="2160"/>
        </w:tabs>
        <w:ind w:left="2160" w:hanging="360"/>
      </w:pPr>
      <w:rPr>
        <w:rFonts w:ascii="Symbol" w:hAnsi="Symbol" w:hint="default"/>
      </w:rPr>
    </w:lvl>
    <w:lvl w:ilvl="3" w:tplc="DE608ED2">
      <w:start w:val="1"/>
      <w:numFmt w:val="bullet"/>
      <w:lvlText w:val=""/>
      <w:lvlJc w:val="left"/>
      <w:pPr>
        <w:tabs>
          <w:tab w:val="num" w:pos="2880"/>
        </w:tabs>
        <w:ind w:left="2880" w:hanging="360"/>
      </w:pPr>
      <w:rPr>
        <w:rFonts w:ascii="Symbol" w:hAnsi="Symbol" w:hint="default"/>
      </w:rPr>
    </w:lvl>
    <w:lvl w:ilvl="4" w:tplc="97E60084">
      <w:start w:val="1"/>
      <w:numFmt w:val="bullet"/>
      <w:lvlText w:val=""/>
      <w:lvlJc w:val="left"/>
      <w:pPr>
        <w:tabs>
          <w:tab w:val="num" w:pos="3600"/>
        </w:tabs>
        <w:ind w:left="3600" w:hanging="360"/>
      </w:pPr>
      <w:rPr>
        <w:rFonts w:ascii="Symbol" w:hAnsi="Symbol" w:hint="default"/>
      </w:rPr>
    </w:lvl>
    <w:lvl w:ilvl="5" w:tplc="37CAADA2">
      <w:start w:val="1"/>
      <w:numFmt w:val="bullet"/>
      <w:lvlText w:val=""/>
      <w:lvlJc w:val="left"/>
      <w:pPr>
        <w:tabs>
          <w:tab w:val="num" w:pos="4320"/>
        </w:tabs>
        <w:ind w:left="4320" w:hanging="360"/>
      </w:pPr>
      <w:rPr>
        <w:rFonts w:ascii="Symbol" w:hAnsi="Symbol" w:hint="default"/>
      </w:rPr>
    </w:lvl>
    <w:lvl w:ilvl="6" w:tplc="A3F46FEC">
      <w:start w:val="1"/>
      <w:numFmt w:val="bullet"/>
      <w:lvlText w:val=""/>
      <w:lvlJc w:val="left"/>
      <w:pPr>
        <w:tabs>
          <w:tab w:val="num" w:pos="5040"/>
        </w:tabs>
        <w:ind w:left="5040" w:hanging="360"/>
      </w:pPr>
      <w:rPr>
        <w:rFonts w:ascii="Symbol" w:hAnsi="Symbol" w:hint="default"/>
      </w:rPr>
    </w:lvl>
    <w:lvl w:ilvl="7" w:tplc="436E67AC">
      <w:start w:val="1"/>
      <w:numFmt w:val="bullet"/>
      <w:lvlText w:val=""/>
      <w:lvlJc w:val="left"/>
      <w:pPr>
        <w:tabs>
          <w:tab w:val="num" w:pos="5760"/>
        </w:tabs>
        <w:ind w:left="5760" w:hanging="360"/>
      </w:pPr>
      <w:rPr>
        <w:rFonts w:ascii="Symbol" w:hAnsi="Symbol" w:hint="default"/>
      </w:rPr>
    </w:lvl>
    <w:lvl w:ilvl="8" w:tplc="C68EE272">
      <w:start w:val="1"/>
      <w:numFmt w:val="bullet"/>
      <w:lvlText w:val=""/>
      <w:lvlJc w:val="left"/>
      <w:pPr>
        <w:tabs>
          <w:tab w:val="num" w:pos="6480"/>
        </w:tabs>
        <w:ind w:left="6480" w:hanging="360"/>
      </w:pPr>
      <w:rPr>
        <w:rFonts w:ascii="Symbol" w:hAnsi="Symbol" w:hint="default"/>
      </w:rPr>
    </w:lvl>
  </w:abstractNum>
  <w:num w:numId="1" w16cid:durableId="616329157">
    <w:abstractNumId w:val="0"/>
  </w:num>
  <w:num w:numId="2" w16cid:durableId="882014897">
    <w:abstractNumId w:val="3"/>
  </w:num>
  <w:num w:numId="3" w16cid:durableId="1392263703">
    <w:abstractNumId w:val="4"/>
  </w:num>
  <w:num w:numId="4" w16cid:durableId="520703178">
    <w:abstractNumId w:val="2"/>
  </w:num>
  <w:num w:numId="5" w16cid:durableId="86686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AC"/>
    <w:rsid w:val="000163BB"/>
    <w:rsid w:val="00030C99"/>
    <w:rsid w:val="00045F53"/>
    <w:rsid w:val="00060A14"/>
    <w:rsid w:val="000844D7"/>
    <w:rsid w:val="000E4213"/>
    <w:rsid w:val="000F2561"/>
    <w:rsid w:val="00114264"/>
    <w:rsid w:val="00123FAC"/>
    <w:rsid w:val="001341B3"/>
    <w:rsid w:val="001414FB"/>
    <w:rsid w:val="00151B16"/>
    <w:rsid w:val="001B00B0"/>
    <w:rsid w:val="001E732E"/>
    <w:rsid w:val="002037CB"/>
    <w:rsid w:val="002263D8"/>
    <w:rsid w:val="002265D8"/>
    <w:rsid w:val="00262785"/>
    <w:rsid w:val="00265D31"/>
    <w:rsid w:val="00272756"/>
    <w:rsid w:val="00281F0E"/>
    <w:rsid w:val="002C4592"/>
    <w:rsid w:val="002F1079"/>
    <w:rsid w:val="002F5DB9"/>
    <w:rsid w:val="003009AF"/>
    <w:rsid w:val="003059C6"/>
    <w:rsid w:val="00330637"/>
    <w:rsid w:val="0033312D"/>
    <w:rsid w:val="00341EDA"/>
    <w:rsid w:val="0037030A"/>
    <w:rsid w:val="0037367D"/>
    <w:rsid w:val="00384780"/>
    <w:rsid w:val="003C3077"/>
    <w:rsid w:val="003F62E6"/>
    <w:rsid w:val="00413382"/>
    <w:rsid w:val="004140F9"/>
    <w:rsid w:val="00423455"/>
    <w:rsid w:val="00465237"/>
    <w:rsid w:val="00481414"/>
    <w:rsid w:val="004B67BB"/>
    <w:rsid w:val="004B7784"/>
    <w:rsid w:val="004D017B"/>
    <w:rsid w:val="004F153D"/>
    <w:rsid w:val="00517E8A"/>
    <w:rsid w:val="0058150E"/>
    <w:rsid w:val="00587A13"/>
    <w:rsid w:val="005C3259"/>
    <w:rsid w:val="005D38EB"/>
    <w:rsid w:val="005E47A1"/>
    <w:rsid w:val="005F1999"/>
    <w:rsid w:val="00605019"/>
    <w:rsid w:val="00631AF8"/>
    <w:rsid w:val="006460E3"/>
    <w:rsid w:val="006F6370"/>
    <w:rsid w:val="006F705E"/>
    <w:rsid w:val="00707A1A"/>
    <w:rsid w:val="0072764B"/>
    <w:rsid w:val="00732EC8"/>
    <w:rsid w:val="00741FDD"/>
    <w:rsid w:val="00783A5D"/>
    <w:rsid w:val="007D2895"/>
    <w:rsid w:val="007D4806"/>
    <w:rsid w:val="007E2FC9"/>
    <w:rsid w:val="007E46F3"/>
    <w:rsid w:val="007F2270"/>
    <w:rsid w:val="00820D34"/>
    <w:rsid w:val="00856DE4"/>
    <w:rsid w:val="008C2481"/>
    <w:rsid w:val="00913D71"/>
    <w:rsid w:val="00915BC9"/>
    <w:rsid w:val="009652A6"/>
    <w:rsid w:val="009B0AD9"/>
    <w:rsid w:val="009B4D5A"/>
    <w:rsid w:val="00A01D09"/>
    <w:rsid w:val="00A111D5"/>
    <w:rsid w:val="00A83265"/>
    <w:rsid w:val="00AC1A4A"/>
    <w:rsid w:val="00B00C24"/>
    <w:rsid w:val="00B07890"/>
    <w:rsid w:val="00B11323"/>
    <w:rsid w:val="00B1533A"/>
    <w:rsid w:val="00B20A6C"/>
    <w:rsid w:val="00B516F3"/>
    <w:rsid w:val="00B52BE7"/>
    <w:rsid w:val="00BE727D"/>
    <w:rsid w:val="00C5164D"/>
    <w:rsid w:val="00C82AD7"/>
    <w:rsid w:val="00C90325"/>
    <w:rsid w:val="00C91576"/>
    <w:rsid w:val="00CA0F09"/>
    <w:rsid w:val="00CA381D"/>
    <w:rsid w:val="00CB47B7"/>
    <w:rsid w:val="00CD4A0C"/>
    <w:rsid w:val="00D05C93"/>
    <w:rsid w:val="00D17AE3"/>
    <w:rsid w:val="00D4084D"/>
    <w:rsid w:val="00D67243"/>
    <w:rsid w:val="00D85885"/>
    <w:rsid w:val="00D928DA"/>
    <w:rsid w:val="00DF33FE"/>
    <w:rsid w:val="00DF6EB5"/>
    <w:rsid w:val="00E219E3"/>
    <w:rsid w:val="00E310F9"/>
    <w:rsid w:val="00E817EE"/>
    <w:rsid w:val="00ED0982"/>
    <w:rsid w:val="00EF5CF7"/>
    <w:rsid w:val="00F056F9"/>
    <w:rsid w:val="00F165C6"/>
    <w:rsid w:val="00F35005"/>
    <w:rsid w:val="00F54CD3"/>
    <w:rsid w:val="00FA12FB"/>
    <w:rsid w:val="00FB550C"/>
    <w:rsid w:val="00FC2681"/>
    <w:rsid w:val="00FD79F1"/>
    <w:rsid w:val="00FE224D"/>
    <w:rsid w:val="00FF20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0EA9"/>
  <w15:docId w15:val="{9C96AB55-6A7E-4E1F-AE27-969BFF1A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CE5F8B"/>
    <w:pPr>
      <w:ind w:left="720"/>
      <w:contextualSpacing/>
    </w:pPr>
  </w:style>
  <w:style w:type="paragraph" w:styleId="a6">
    <w:name w:val="Normal (Web)"/>
    <w:basedOn w:val="a"/>
    <w:uiPriority w:val="99"/>
    <w:semiHidden/>
    <w:unhideWhenUsed/>
    <w:rsid w:val="00CE5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2C0B"/>
  </w:style>
  <w:style w:type="character" w:styleId="a7">
    <w:name w:val="Emphasis"/>
    <w:basedOn w:val="a0"/>
    <w:uiPriority w:val="20"/>
    <w:qFormat/>
    <w:rsid w:val="00366A19"/>
    <w:rPr>
      <w:i/>
      <w:iCs/>
    </w:rPr>
  </w:style>
  <w:style w:type="character" w:customStyle="1" w:styleId="10">
    <w:name w:val="Заголовок 1 Знак"/>
    <w:basedOn w:val="a0"/>
    <w:link w:val="1"/>
    <w:uiPriority w:val="9"/>
    <w:rsid w:val="00C26CA3"/>
    <w:rPr>
      <w:b/>
      <w:sz w:val="48"/>
      <w:szCs w:val="48"/>
    </w:rPr>
  </w:style>
  <w:style w:type="character" w:customStyle="1" w:styleId="apple-tab-span">
    <w:name w:val="apple-tab-span"/>
    <w:basedOn w:val="a0"/>
    <w:rsid w:val="009B4D5A"/>
  </w:style>
  <w:style w:type="paragraph" w:styleId="a8">
    <w:name w:val="header"/>
    <w:basedOn w:val="a"/>
    <w:link w:val="a9"/>
    <w:uiPriority w:val="99"/>
    <w:unhideWhenUsed/>
    <w:rsid w:val="005F199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F1999"/>
  </w:style>
  <w:style w:type="paragraph" w:styleId="aa">
    <w:name w:val="footer"/>
    <w:basedOn w:val="a"/>
    <w:link w:val="ab"/>
    <w:uiPriority w:val="99"/>
    <w:unhideWhenUsed/>
    <w:rsid w:val="005F199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F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556093">
      <w:bodyDiv w:val="1"/>
      <w:marLeft w:val="0"/>
      <w:marRight w:val="0"/>
      <w:marTop w:val="0"/>
      <w:marBottom w:val="0"/>
      <w:divBdr>
        <w:top w:val="none" w:sz="0" w:space="0" w:color="auto"/>
        <w:left w:val="none" w:sz="0" w:space="0" w:color="auto"/>
        <w:bottom w:val="none" w:sz="0" w:space="0" w:color="auto"/>
        <w:right w:val="none" w:sz="0" w:space="0" w:color="auto"/>
      </w:divBdr>
    </w:div>
    <w:div w:id="596139183">
      <w:bodyDiv w:val="1"/>
      <w:marLeft w:val="0"/>
      <w:marRight w:val="0"/>
      <w:marTop w:val="0"/>
      <w:marBottom w:val="0"/>
      <w:divBdr>
        <w:top w:val="none" w:sz="0" w:space="0" w:color="auto"/>
        <w:left w:val="none" w:sz="0" w:space="0" w:color="auto"/>
        <w:bottom w:val="none" w:sz="0" w:space="0" w:color="auto"/>
        <w:right w:val="none" w:sz="0" w:space="0" w:color="auto"/>
      </w:divBdr>
    </w:div>
    <w:div w:id="973024375">
      <w:bodyDiv w:val="1"/>
      <w:marLeft w:val="0"/>
      <w:marRight w:val="0"/>
      <w:marTop w:val="0"/>
      <w:marBottom w:val="0"/>
      <w:divBdr>
        <w:top w:val="none" w:sz="0" w:space="0" w:color="auto"/>
        <w:left w:val="none" w:sz="0" w:space="0" w:color="auto"/>
        <w:bottom w:val="none" w:sz="0" w:space="0" w:color="auto"/>
        <w:right w:val="none" w:sz="0" w:space="0" w:color="auto"/>
      </w:divBdr>
    </w:div>
    <w:div w:id="1307861503">
      <w:bodyDiv w:val="1"/>
      <w:marLeft w:val="0"/>
      <w:marRight w:val="0"/>
      <w:marTop w:val="0"/>
      <w:marBottom w:val="0"/>
      <w:divBdr>
        <w:top w:val="none" w:sz="0" w:space="0" w:color="auto"/>
        <w:left w:val="none" w:sz="0" w:space="0" w:color="auto"/>
        <w:bottom w:val="none" w:sz="0" w:space="0" w:color="auto"/>
        <w:right w:val="none" w:sz="0" w:space="0" w:color="auto"/>
      </w:divBdr>
    </w:div>
    <w:div w:id="1746953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0IzLEE9fHqmnGJT/+C27Vyf9g==">CgMxLjAyCGguZ2pkZ3hzMg5oLjQxaG50bmZ2MXhpcTIOaC5pa25sYTkxbHZjbncyCWguMzBqMHpsbDgAciExcWZFeXB2c3hORjFyZUZ2YUs1ODVjc0ctR3ZJdmhwRU8=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38352</Words>
  <Characters>21862</Characters>
  <Application>Microsoft Office Word</Application>
  <DocSecurity>0</DocSecurity>
  <Lines>182</Lines>
  <Paragraphs>120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Демченко Валентина Вікторівна</dc:creator>
  <cp:lastModifiedBy>Демченко Валентина Вікторівна</cp:lastModifiedBy>
  <cp:revision>2</cp:revision>
  <dcterms:created xsi:type="dcterms:W3CDTF">2025-06-06T13:25:00Z</dcterms:created>
  <dcterms:modified xsi:type="dcterms:W3CDTF">2025-06-06T13:25:00Z</dcterms:modified>
</cp:coreProperties>
</file>