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916"/>
          <w:tab w:val="left" w:leader="none" w:pos="1832"/>
          <w:tab w:val="left" w:leader="none" w:pos="2748"/>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670" w:firstLine="0"/>
        <w:rPr>
          <w:sz w:val="28"/>
          <w:szCs w:val="28"/>
        </w:rPr>
      </w:pPr>
      <w:r w:rsidDel="00000000" w:rsidR="00000000" w:rsidRPr="00000000">
        <w:rPr>
          <w:sz w:val="28"/>
          <w:szCs w:val="28"/>
          <w:rtl w:val="0"/>
        </w:rPr>
        <w:t xml:space="preserve">ЗАТВЕРДЖЕНО</w:t>
      </w:r>
    </w:p>
    <w:p w:rsidR="00000000" w:rsidDel="00000000" w:rsidP="00000000" w:rsidRDefault="00000000" w:rsidRPr="00000000" w14:paraId="00000002">
      <w:pPr>
        <w:shd w:fill="ffffff" w:val="clear"/>
        <w:tabs>
          <w:tab w:val="left" w:leader="none" w:pos="916"/>
          <w:tab w:val="left" w:leader="none" w:pos="1832"/>
          <w:tab w:val="left" w:leader="none" w:pos="2748"/>
          <w:tab w:val="left" w:leader="none" w:pos="4580"/>
          <w:tab w:val="left" w:leader="none" w:pos="5103"/>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670" w:firstLine="0"/>
        <w:rPr>
          <w:sz w:val="28"/>
          <w:szCs w:val="28"/>
        </w:rPr>
      </w:pPr>
      <w:r w:rsidDel="00000000" w:rsidR="00000000" w:rsidRPr="00000000">
        <w:rPr>
          <w:sz w:val="28"/>
          <w:szCs w:val="28"/>
          <w:rtl w:val="0"/>
        </w:rPr>
        <w:t xml:space="preserve">Наказ Міністерства у справах ветеранів України</w:t>
      </w:r>
    </w:p>
    <w:p w:rsidR="00000000" w:rsidDel="00000000" w:rsidP="00000000" w:rsidRDefault="00000000" w:rsidRPr="00000000" w14:paraId="00000003">
      <w:pPr>
        <w:shd w:fill="ffffff" w:val="clear"/>
        <w:tabs>
          <w:tab w:val="left" w:leader="none" w:pos="916"/>
          <w:tab w:val="left" w:leader="none" w:pos="1832"/>
          <w:tab w:val="left" w:leader="none" w:pos="2748"/>
          <w:tab w:val="left" w:leader="none" w:pos="4580"/>
          <w:tab w:val="left" w:leader="none" w:pos="5103"/>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5670" w:firstLine="0"/>
        <w:rPr>
          <w:sz w:val="28"/>
          <w:szCs w:val="28"/>
        </w:rPr>
      </w:pPr>
      <w:r w:rsidDel="00000000" w:rsidR="00000000" w:rsidRPr="00000000">
        <w:rPr>
          <w:sz w:val="28"/>
          <w:szCs w:val="28"/>
          <w:rtl w:val="0"/>
        </w:rPr>
        <w:t xml:space="preserve">19 січня 2026 року № 36</w:t>
      </w:r>
    </w:p>
    <w:p w:rsidR="00000000" w:rsidDel="00000000" w:rsidP="00000000" w:rsidRDefault="00000000" w:rsidRPr="00000000" w14:paraId="0000000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rPr>
          <w:sz w:val="28"/>
          <w:szCs w:val="28"/>
        </w:rPr>
      </w:pPr>
      <w:r w:rsidDel="00000000" w:rsidR="00000000" w:rsidRPr="00000000">
        <w:rPr>
          <w:rtl w:val="0"/>
        </w:rPr>
      </w:r>
    </w:p>
    <w:p w:rsidR="00000000" w:rsidDel="00000000" w:rsidP="00000000" w:rsidRDefault="00000000" w:rsidRPr="00000000" w14:paraId="0000000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rtl w:val="0"/>
        </w:rPr>
      </w:r>
    </w:p>
    <w:p w:rsidR="00000000" w:rsidDel="00000000" w:rsidP="00000000" w:rsidRDefault="00000000" w:rsidRPr="00000000" w14:paraId="0000000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rtl w:val="0"/>
        </w:rPr>
      </w:r>
    </w:p>
    <w:p w:rsidR="00000000" w:rsidDel="00000000" w:rsidP="00000000" w:rsidRDefault="00000000" w:rsidRPr="00000000" w14:paraId="0000000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Положення</w:t>
      </w:r>
    </w:p>
    <w:p w:rsidR="00000000" w:rsidDel="00000000" w:rsidP="00000000" w:rsidRDefault="00000000" w:rsidRPr="00000000" w14:paraId="0000000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про міжвідомчу комісію з питань визначення </w:t>
        <w:br w:type="textWrapping"/>
        <w:t xml:space="preserve">учасників експериментального проекту</w:t>
      </w:r>
      <w:r w:rsidDel="00000000" w:rsidR="00000000" w:rsidRPr="00000000">
        <w:rPr>
          <w:rtl w:val="0"/>
        </w:rPr>
        <w:t xml:space="preserve"> </w:t>
      </w:r>
      <w:r w:rsidDel="00000000" w:rsidR="00000000" w:rsidRPr="00000000">
        <w:rPr>
          <w:b w:val="1"/>
          <w:bCs w:val="1"/>
          <w:sz w:val="28"/>
          <w:szCs w:val="28"/>
          <w:rtl w:val="0"/>
        </w:rPr>
        <w:t xml:space="preserve">щодо надання </w:t>
        <w:br w:type="textWrapping"/>
        <w:t xml:space="preserve">послуг з довготривалого медичного догляду окремим </w:t>
        <w:br w:type="textWrapping"/>
        <w:t xml:space="preserve">категоріям осіб, які захищали незалежність, суверенітет </w:t>
        <w:br w:type="textWrapping"/>
        <w:t xml:space="preserve">та територіальну цілісність України</w:t>
      </w:r>
    </w:p>
    <w:p w:rsidR="00000000" w:rsidDel="00000000" w:rsidP="00000000" w:rsidRDefault="00000000" w:rsidRPr="00000000" w14:paraId="0000000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center"/>
        <w:rPr>
          <w:b w:val="1"/>
          <w:bCs w:val="1"/>
          <w:sz w:val="28"/>
          <w:szCs w:val="28"/>
        </w:rPr>
      </w:pPr>
      <w:r w:rsidDel="00000000" w:rsidR="00000000" w:rsidRPr="00000000">
        <w:rPr>
          <w:rtl w:val="0"/>
        </w:rPr>
      </w:r>
    </w:p>
    <w:p w:rsidR="00000000" w:rsidDel="00000000" w:rsidP="00000000" w:rsidRDefault="00000000" w:rsidRPr="00000000" w14:paraId="0000000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I. Загальні положення</w:t>
      </w:r>
    </w:p>
    <w:p w:rsidR="00000000" w:rsidDel="00000000" w:rsidP="00000000" w:rsidRDefault="00000000" w:rsidRPr="00000000" w14:paraId="0000000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Це Положення визначає порядок створення та організації роботи, основні функції та завдання міжвідомчої комісії з питань визначення учасників експериментального проекту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(далі – міжвідомча комісія), та критерії, за якими міжвідомчою комісією приймається рішення стосовно укладення договору про медичне обслуговування населення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(далі – договір).</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Міжвідомчу комісію утворює, організовує її роботу Мінветеранів</w:t>
      </w:r>
      <w:r w:rsidDel="00000000" w:rsidR="00000000" w:rsidRPr="00000000">
        <w:rPr>
          <w:rFonts w:ascii="Times New Roman" w:cs="Times New Roman" w:eastAsia="Times New Roman" w:hAnsi="Times New Roman"/>
          <w:b w:val="0"/>
          <w:bCs w:val="0"/>
          <w:i w:val="0"/>
          <w:iCs w:val="0"/>
          <w:smallCaps w:val="0"/>
          <w:strike w:val="1"/>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абзацу четвертого пункту 10, підпункту 3 пункту 14 Порядку реалізації експериментального проекту щодо надання послуг з довготривалого медичного догляду окремим категоріям осіб, які захищали незалежність, суверенітет та територіальну цілісність України, затвердженого постановою Кабінету Міністрів України від 23 жовтня 2025 року № 1365 (далі – Порядок).</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У своїй діяльності міжвідомча комісія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нормативно-правовими актами, у тому числі цим Положенням.</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II. Завдання та повноваження</w:t>
      </w:r>
    </w:p>
    <w:p w:rsidR="00000000" w:rsidDel="00000000" w:rsidP="00000000" w:rsidRDefault="00000000" w:rsidRPr="00000000" w14:paraId="0000001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center"/>
        <w:rPr>
          <w:b w:val="1"/>
          <w:bCs w:val="1"/>
          <w:sz w:val="28"/>
          <w:szCs w:val="28"/>
        </w:rPr>
      </w:pPr>
      <w:r w:rsidDel="00000000" w:rsidR="00000000" w:rsidRPr="00000000">
        <w:rPr>
          <w:rtl w:val="0"/>
        </w:rPr>
      </w:r>
    </w:p>
    <w:p w:rsidR="00000000" w:rsidDel="00000000" w:rsidP="00000000" w:rsidRDefault="00000000" w:rsidRPr="00000000" w14:paraId="00000014">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1. Основними завданнями міжвідомчої комісії є:</w:t>
      </w:r>
    </w:p>
    <w:p w:rsidR="00000000" w:rsidDel="00000000" w:rsidP="00000000" w:rsidRDefault="00000000" w:rsidRPr="00000000" w14:paraId="00000015">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16">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bookmarkStart w:colFirst="0" w:colLast="0" w:name="_pzb0kgarc88q" w:id="0"/>
      <w:bookmarkEnd w:id="0"/>
      <w:r w:rsidDel="00000000" w:rsidR="00000000" w:rsidRPr="00000000">
        <w:rPr>
          <w:sz w:val="28"/>
          <w:szCs w:val="28"/>
          <w:rtl w:val="0"/>
        </w:rPr>
        <w:t xml:space="preserve">1) розгляд заяв та інформації, визначених пунктом 10 Порядку, надісланих закладами охорони здоров’я незалежно від форми власності та фізичними особами – підприємцями, які одержали ліцензію на провадження господарської діяльності з медичної практики (далі – надавачі медичних послуг), щодо доцільності укладення договору;</w:t>
      </w:r>
    </w:p>
    <w:p w:rsidR="00000000" w:rsidDel="00000000" w:rsidP="00000000" w:rsidRDefault="00000000" w:rsidRPr="00000000" w14:paraId="00000017">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1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2) прийняття рішення щодо укладення або відмови в укладенні договору із кожним надавачем медичних послуг з урахуванням його спроможності та наявності циклів догляду, оплата за які може бути здійснена за рахунок бюджетних коштів;</w:t>
      </w:r>
    </w:p>
    <w:p w:rsidR="00000000" w:rsidDel="00000000" w:rsidP="00000000" w:rsidRDefault="00000000" w:rsidRPr="00000000" w14:paraId="0000001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1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3) визначення надавачів медичних послуг, які будуть включені до клінічних маршрутів пацієнта, з метою отримання послуг з довготривалого медичного догляду (далі – послуги) відповідно до Порядку.</w:t>
      </w:r>
    </w:p>
    <w:p w:rsidR="00000000" w:rsidDel="00000000" w:rsidP="00000000" w:rsidRDefault="00000000" w:rsidRPr="00000000" w14:paraId="0000001B">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1C">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2. Міжвідомча комісія має право:</w:t>
      </w:r>
    </w:p>
    <w:p w:rsidR="00000000" w:rsidDel="00000000" w:rsidP="00000000" w:rsidRDefault="00000000" w:rsidRPr="00000000" w14:paraId="0000001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1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1) розглядати заяви та інформацію, визначені пунктом 10 Порядку, надіслані надавачами медичних послуг;</w:t>
      </w:r>
    </w:p>
    <w:p w:rsidR="00000000" w:rsidDel="00000000" w:rsidP="00000000" w:rsidRDefault="00000000" w:rsidRPr="00000000" w14:paraId="0000001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2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2) уточнювати інформацію про спроможності надавачів медичних послуг, які відповідно до Порядку подали заяву та інформацію для участі в експериментальному проекті, щодо надання в повному обсязі послуг, передбачених абзацами третім – десятим пункту 3 Порядку; </w:t>
      </w:r>
    </w:p>
    <w:p w:rsidR="00000000" w:rsidDel="00000000" w:rsidP="00000000" w:rsidRDefault="00000000" w:rsidRPr="00000000" w14:paraId="00000021">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2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sz w:val="28"/>
          <w:szCs w:val="28"/>
          <w:rtl w:val="0"/>
        </w:rPr>
        <w:t xml:space="preserve">3) приймати рішення про укладення або відмову в укладенні договору.</w:t>
      </w:r>
    </w:p>
    <w:p w:rsidR="00000000" w:rsidDel="00000000" w:rsidP="00000000" w:rsidRDefault="00000000" w:rsidRPr="00000000" w14:paraId="0000002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both"/>
        <w:rPr>
          <w:sz w:val="28"/>
          <w:szCs w:val="28"/>
        </w:rPr>
      </w:pPr>
      <w:r w:rsidDel="00000000" w:rsidR="00000000" w:rsidRPr="00000000">
        <w:rPr>
          <w:rtl w:val="0"/>
        </w:rPr>
      </w:r>
    </w:p>
    <w:p w:rsidR="00000000" w:rsidDel="00000000" w:rsidP="00000000" w:rsidRDefault="00000000" w:rsidRPr="00000000" w14:paraId="00000024">
      <w:pPr>
        <w:keepNext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III. Критерії, за якими приймається </w:t>
        <w:br w:type="textWrapping"/>
        <w:t xml:space="preserve">рішення щодо укладення договору </w:t>
      </w:r>
    </w:p>
    <w:p w:rsidR="00000000" w:rsidDel="00000000" w:rsidP="00000000" w:rsidRDefault="00000000" w:rsidRPr="00000000" w14:paraId="00000025">
      <w:pPr>
        <w:keepNext w:val="1"/>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Рішення про укладення договору міжвідомча комісія приймає на підставі: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заяви та інформації, визначених пунктом 10 Порядку, надісланих надавачами медичних послуг, які дають можливість оцінити спроможність щодо надання послуг;</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відповідності наданої інформації специфікаціям та умовам закупівлі послуг;</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наявності циклів догляду, оплата за які може бути здійснена за рахунок бюджетних коштів;</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факту реєстрації надавача медичних послуг в електронній системі охорони здоров’я та внесення ним медичних записів до електронної системи охорони здоров’я відповідно до законодавства.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Міжвідомча комісія відмовляє в укладенні договору з підстав, визначених абзацами десятим – чотирнадцятим пункту 10 Порядку.</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IV. Склад міжвідомчої комісії</w:t>
      </w:r>
    </w:p>
    <w:p w:rsidR="00000000" w:rsidDel="00000000" w:rsidP="00000000" w:rsidRDefault="00000000" w:rsidRPr="00000000" w14:paraId="0000003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567"/>
        <w:jc w:val="center"/>
        <w:rPr>
          <w:b w:val="1"/>
          <w:bCs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Міжвідомча комісія утворюється у складі голови та секретаря, які є представниками Мінветеранів, та інших членів міжвідомчої комісії.</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До складу міжвідомчої комісії включаються не менше двох представників Мінветеранів, по одному представникові МОЗ та НСЗУ та один представник від громадськості (за згодою).</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Персональний склад міжвідомчої комісії формується на підставі пропозицій МОЗ, НСЗУ, громадських об’єднань та затверджується наказом Мінветеранів.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Голова міжвідомчої комісії: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очолює міжвідомчу комісію, здійснює загальне керівництво міжвідомчою комісією та забезпечує організацію її роботи;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головує на засіданнях міжвідомчої комісії;</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організовує в межах своїх повноважень взаємодію міжвідомчої комісії з органами виконавчої влади, органами місцевого самоврядування та громадськими об’єднаннями (або громадськістю);</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підписує листи міжвідомчої комісії;</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підписує разом із членами міжвідомчої комісії протоколи засідань міжвідомчої комісії;</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підписує разом із секретарем міжвідомчої комісії рішення, що ухвалює міжвідомча комісія та які оформлюються протоколом (або витягом з протоколу) засідання;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бере участь у заходах щодо висвітлення діяльності міжвідомчої комісії.</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Якщо голова міжвідомчої комісії відсутній або не може виконувати своїх повноважень, його обов’язки виконує член міжвідомчої комісії, обраний із числа присутніх на засіданні простою більшістю голосів.</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Секретар міжвідомчої комісії організовує підготовку та розсилає всім членам міжвідомчої комісії повідомлення про дату, час і місце проведення засідання, проект порядку денного засідання, оформлює його протокол.</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Якщо відсутній секретар міжвідомчої комісії, його функції виконує член міжвідомчої комісії, обраний із числа присутніх на засіданні простою більшістю голосів.</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b w:val="1"/>
          <w:bCs w:val="1"/>
          <w:sz w:val="28"/>
          <w:szCs w:val="28"/>
          <w:rtl w:val="0"/>
        </w:rPr>
        <w:t xml:space="preserve">V. Організація роботи</w:t>
      </w:r>
    </w:p>
    <w:p w:rsidR="00000000" w:rsidDel="00000000" w:rsidP="00000000" w:rsidRDefault="00000000" w:rsidRPr="00000000" w14:paraId="0000005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b w:val="1"/>
          <w:bCs w:val="1"/>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Міжвідомча комісія розглядає заяву та інформацію, визначені пунктом 10 Порядку, надавача медичних послуг в порядку черговості надходження заяв для надання послуг та у разі потреби уточнює інформацію по кожному заявнику.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Рішення міжвідомчої комісії оформлюються протоколом.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 засідання міжвідомчої комісії Мінветеранів надсилає до МОЗ та НСЗУ.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МОЗ за результатами роботи міжвідомчої комісії за погодженням Мінветеранів затверджує наказ щодо клінічних маршрутів пацієнта для отримання послуг та направляє його до Мінветеранів та НСЗУ.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НСЗУ після отримання протоколу міжвідомчої комісії про укладення договору або відмови в його укладенні та, керуючись наказом МОЗ про затвердження клінічних маршрутів пацієнта для отримання послуг, інформує заявника про це шляхом надсилання повідомлення на зазначену в заяві заявника адресу електронної пошти або його поштову адресу.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НСЗУ інформує про факт укладення договору із заявником Мінветеранів.</w:t>
      </w:r>
    </w:p>
    <w:p w:rsidR="00000000" w:rsidDel="00000000" w:rsidP="00000000" w:rsidRDefault="00000000" w:rsidRPr="00000000" w14:paraId="0000005B">
      <w:pPr>
        <w:jc w:val="both"/>
        <w:rPr>
          <w:sz w:val="28"/>
          <w:szCs w:val="28"/>
        </w:rPr>
      </w:pPr>
      <w:r w:rsidDel="00000000" w:rsidR="00000000" w:rsidRPr="00000000">
        <w:rPr>
          <w:rtl w:val="0"/>
        </w:rPr>
      </w:r>
    </w:p>
    <w:p w:rsidR="00000000" w:rsidDel="00000000" w:rsidP="00000000" w:rsidRDefault="00000000" w:rsidRPr="00000000" w14:paraId="0000005C">
      <w:pPr>
        <w:ind w:firstLine="567"/>
        <w:jc w:val="both"/>
        <w:rPr>
          <w:sz w:val="28"/>
          <w:szCs w:val="28"/>
        </w:rPr>
      </w:pPr>
      <w:r w:rsidDel="00000000" w:rsidR="00000000" w:rsidRPr="00000000">
        <w:rPr>
          <w:sz w:val="28"/>
          <w:szCs w:val="28"/>
          <w:rtl w:val="0"/>
        </w:rPr>
        <w:t xml:space="preserve">6. Формою роботи міжвідомчої комісії є засідання, які проводяться не рідше одного разу на місяць (за наявності заяв та інформації надавачів медичних послуг для розгляду).</w:t>
      </w:r>
    </w:p>
    <w:p w:rsidR="00000000" w:rsidDel="00000000" w:rsidP="00000000" w:rsidRDefault="00000000" w:rsidRPr="00000000" w14:paraId="0000005D">
      <w:pPr>
        <w:ind w:firstLine="567"/>
        <w:jc w:val="both"/>
        <w:rPr>
          <w:sz w:val="28"/>
          <w:szCs w:val="28"/>
        </w:rPr>
      </w:pPr>
      <w:r w:rsidDel="00000000" w:rsidR="00000000" w:rsidRPr="00000000">
        <w:rPr>
          <w:sz w:val="28"/>
          <w:szCs w:val="28"/>
          <w:rtl w:val="0"/>
        </w:rPr>
        <w:t xml:space="preserve">Після отримання та опрацювання в п’ятиденний строк заяв та інформації, визначених пунктом 10 Порядку, від надавачів медичних послуг НСЗУ передає матеріали та заяви на розгляд міжвідомчої комісії.</w:t>
      </w:r>
    </w:p>
    <w:p w:rsidR="00000000" w:rsidDel="00000000" w:rsidP="00000000" w:rsidRDefault="00000000" w:rsidRPr="00000000" w14:paraId="0000005E">
      <w:pPr>
        <w:ind w:firstLine="567"/>
        <w:jc w:val="both"/>
        <w:rPr>
          <w:sz w:val="28"/>
          <w:szCs w:val="28"/>
        </w:rPr>
      </w:pPr>
      <w:r w:rsidDel="00000000" w:rsidR="00000000" w:rsidRPr="00000000">
        <w:rPr>
          <w:sz w:val="28"/>
          <w:szCs w:val="28"/>
          <w:rtl w:val="0"/>
        </w:rPr>
        <w:t xml:space="preserve">Про дату проведення засідання та його порядок денний членів міжвідомчої комісії інформують не пізніше ніж за три робочі дні до дати проведення засідання.</w:t>
      </w:r>
    </w:p>
    <w:p w:rsidR="00000000" w:rsidDel="00000000" w:rsidP="00000000" w:rsidRDefault="00000000" w:rsidRPr="00000000" w14:paraId="0000005F">
      <w:pPr>
        <w:ind w:firstLine="567"/>
        <w:jc w:val="both"/>
        <w:rPr>
          <w:sz w:val="28"/>
          <w:szCs w:val="28"/>
        </w:rPr>
      </w:pPr>
      <w:r w:rsidDel="00000000" w:rsidR="00000000" w:rsidRPr="00000000">
        <w:rPr>
          <w:rtl w:val="0"/>
        </w:rPr>
      </w:r>
    </w:p>
    <w:p w:rsidR="00000000" w:rsidDel="00000000" w:rsidP="00000000" w:rsidRDefault="00000000" w:rsidRPr="00000000" w14:paraId="00000060">
      <w:pPr>
        <w:ind w:firstLine="567"/>
        <w:jc w:val="both"/>
        <w:rPr>
          <w:sz w:val="28"/>
          <w:szCs w:val="28"/>
        </w:rPr>
      </w:pPr>
      <w:r w:rsidDel="00000000" w:rsidR="00000000" w:rsidRPr="00000000">
        <w:rPr>
          <w:sz w:val="28"/>
          <w:szCs w:val="28"/>
          <w:rtl w:val="0"/>
        </w:rPr>
        <w:t xml:space="preserve">7. Організацію проведення засідань міжвідомчої комісії здійснює Мінветеранів.</w:t>
      </w:r>
    </w:p>
    <w:p w:rsidR="00000000" w:rsidDel="00000000" w:rsidP="00000000" w:rsidRDefault="00000000" w:rsidRPr="00000000" w14:paraId="00000061">
      <w:pPr>
        <w:ind w:firstLine="567"/>
        <w:jc w:val="both"/>
        <w:rPr>
          <w:sz w:val="28"/>
          <w:szCs w:val="28"/>
        </w:rPr>
      </w:pPr>
      <w:r w:rsidDel="00000000" w:rsidR="00000000" w:rsidRPr="00000000">
        <w:rPr>
          <w:rtl w:val="0"/>
        </w:rPr>
      </w:r>
    </w:p>
    <w:p w:rsidR="00000000" w:rsidDel="00000000" w:rsidP="00000000" w:rsidRDefault="00000000" w:rsidRPr="00000000" w14:paraId="00000062">
      <w:pPr>
        <w:ind w:firstLine="567"/>
        <w:jc w:val="both"/>
        <w:rPr>
          <w:sz w:val="28"/>
          <w:szCs w:val="28"/>
        </w:rPr>
      </w:pPr>
      <w:r w:rsidDel="00000000" w:rsidR="00000000" w:rsidRPr="00000000">
        <w:rPr>
          <w:sz w:val="28"/>
          <w:szCs w:val="28"/>
          <w:rtl w:val="0"/>
        </w:rPr>
        <w:t xml:space="preserve">8. Засідання міжвідомчої комісії є правомочним, якщо на ньому присутні більше ніж половина її членів.</w:t>
      </w:r>
    </w:p>
    <w:p w:rsidR="00000000" w:rsidDel="00000000" w:rsidP="00000000" w:rsidRDefault="00000000" w:rsidRPr="00000000" w14:paraId="00000063">
      <w:pPr>
        <w:ind w:firstLine="567"/>
        <w:jc w:val="both"/>
        <w:rPr>
          <w:sz w:val="28"/>
          <w:szCs w:val="28"/>
        </w:rPr>
      </w:pPr>
      <w:r w:rsidDel="00000000" w:rsidR="00000000" w:rsidRPr="00000000">
        <w:rPr>
          <w:rtl w:val="0"/>
        </w:rPr>
      </w:r>
    </w:p>
    <w:p w:rsidR="00000000" w:rsidDel="00000000" w:rsidP="00000000" w:rsidRDefault="00000000" w:rsidRPr="00000000" w14:paraId="00000064">
      <w:pPr>
        <w:ind w:firstLine="567"/>
        <w:jc w:val="both"/>
        <w:rPr>
          <w:sz w:val="28"/>
          <w:szCs w:val="28"/>
        </w:rPr>
      </w:pPr>
      <w:r w:rsidDel="00000000" w:rsidR="00000000" w:rsidRPr="00000000">
        <w:rPr>
          <w:sz w:val="28"/>
          <w:szCs w:val="28"/>
          <w:rtl w:val="0"/>
        </w:rPr>
        <w:t xml:space="preserve">9. Рішення міжвідомчої комісії ухвалюються відкритим голосуванням простою більшістю голосів членів міжвідомчої комісії, присутніх на засіданні.</w:t>
      </w:r>
    </w:p>
    <w:p w:rsidR="00000000" w:rsidDel="00000000" w:rsidP="00000000" w:rsidRDefault="00000000" w:rsidRPr="00000000" w14:paraId="00000065">
      <w:pPr>
        <w:ind w:firstLine="567"/>
        <w:jc w:val="both"/>
        <w:rPr>
          <w:sz w:val="28"/>
          <w:szCs w:val="28"/>
        </w:rPr>
      </w:pPr>
      <w:r w:rsidDel="00000000" w:rsidR="00000000" w:rsidRPr="00000000">
        <w:rPr>
          <w:rtl w:val="0"/>
        </w:rPr>
      </w:r>
    </w:p>
    <w:p w:rsidR="00000000" w:rsidDel="00000000" w:rsidP="00000000" w:rsidRDefault="00000000" w:rsidRPr="00000000" w14:paraId="00000066">
      <w:pPr>
        <w:ind w:firstLine="567"/>
        <w:jc w:val="both"/>
        <w:rPr>
          <w:sz w:val="28"/>
          <w:szCs w:val="28"/>
        </w:rPr>
      </w:pPr>
      <w:r w:rsidDel="00000000" w:rsidR="00000000" w:rsidRPr="00000000">
        <w:rPr>
          <w:sz w:val="28"/>
          <w:szCs w:val="28"/>
          <w:rtl w:val="0"/>
        </w:rPr>
        <w:t xml:space="preserve">10. У разі рівного розподілу голосів вирішальним є голос голови міжвідомчої комісії.</w:t>
      </w:r>
    </w:p>
    <w:p w:rsidR="00000000" w:rsidDel="00000000" w:rsidP="00000000" w:rsidRDefault="00000000" w:rsidRPr="00000000" w14:paraId="00000067">
      <w:pPr>
        <w:ind w:firstLine="567"/>
        <w:jc w:val="both"/>
        <w:rPr>
          <w:sz w:val="28"/>
          <w:szCs w:val="28"/>
        </w:rPr>
      </w:pPr>
      <w:r w:rsidDel="00000000" w:rsidR="00000000" w:rsidRPr="00000000">
        <w:rPr>
          <w:rtl w:val="0"/>
        </w:rPr>
      </w:r>
    </w:p>
    <w:p w:rsidR="00000000" w:rsidDel="00000000" w:rsidP="00000000" w:rsidRDefault="00000000" w:rsidRPr="00000000" w14:paraId="00000068">
      <w:pPr>
        <w:ind w:firstLine="567"/>
        <w:jc w:val="both"/>
        <w:rPr>
          <w:sz w:val="28"/>
          <w:szCs w:val="28"/>
        </w:rPr>
      </w:pPr>
      <w:r w:rsidDel="00000000" w:rsidR="00000000" w:rsidRPr="00000000">
        <w:rPr>
          <w:sz w:val="28"/>
          <w:szCs w:val="28"/>
          <w:rtl w:val="0"/>
        </w:rPr>
        <w:t xml:space="preserve">11. Міжвідомча комісія здійснює розгляд заяв та інформації, визначених пунктом 10 Порядку, надавачів медичних послуг після здійснення заходів, передбачених Порядком (прийом заяв та інформації, надісланих надавачами медичних послуг, та формування пакету документів для розгляду міжвідомчої комісії), уповноваженим від НСЗУ представником. </w:t>
      </w:r>
    </w:p>
    <w:p w:rsidR="00000000" w:rsidDel="00000000" w:rsidP="00000000" w:rsidRDefault="00000000" w:rsidRPr="00000000" w14:paraId="00000069">
      <w:pPr>
        <w:ind w:firstLine="567"/>
        <w:jc w:val="both"/>
        <w:rPr>
          <w:sz w:val="28"/>
          <w:szCs w:val="28"/>
        </w:rPr>
      </w:pPr>
      <w:r w:rsidDel="00000000" w:rsidR="00000000" w:rsidRPr="00000000">
        <w:rPr>
          <w:sz w:val="28"/>
          <w:szCs w:val="28"/>
          <w:rtl w:val="0"/>
        </w:rPr>
        <w:t xml:space="preserve">У такому разі НСЗУ інформує міжвідомчу комісію про результати попереднього розгляду заяв та інформації надавачів медичних послуг, які надійшли до НСЗУ, після чого міжвідомча комісія приймає рішення відповідно до Порядку.</w:t>
      </w:r>
    </w:p>
    <w:p w:rsidR="00000000" w:rsidDel="00000000" w:rsidP="00000000" w:rsidRDefault="00000000" w:rsidRPr="00000000" w14:paraId="0000006A">
      <w:pPr>
        <w:ind w:firstLine="567"/>
        <w:jc w:val="both"/>
        <w:rPr>
          <w:sz w:val="28"/>
          <w:szCs w:val="28"/>
        </w:rPr>
      </w:pPr>
      <w:r w:rsidDel="00000000" w:rsidR="00000000" w:rsidRPr="00000000">
        <w:rPr>
          <w:rtl w:val="0"/>
        </w:rPr>
      </w:r>
    </w:p>
    <w:p w:rsidR="00000000" w:rsidDel="00000000" w:rsidP="00000000" w:rsidRDefault="00000000" w:rsidRPr="00000000" w14:paraId="0000006B">
      <w:pPr>
        <w:ind w:firstLine="567"/>
        <w:jc w:val="both"/>
        <w:rPr>
          <w:sz w:val="28"/>
          <w:szCs w:val="28"/>
        </w:rPr>
      </w:pPr>
      <w:r w:rsidDel="00000000" w:rsidR="00000000" w:rsidRPr="00000000">
        <w:rPr>
          <w:sz w:val="28"/>
          <w:szCs w:val="28"/>
          <w:rtl w:val="0"/>
        </w:rPr>
        <w:t xml:space="preserve">12. Матеріали і заяви, на підставі яких міжвідомча комісія прийняла рішення,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 квітня 2012 року № 578/5, зареєстрованого у Міністерстві юстиції України 17 квітня 2012 року за № 571/20884.</w:t>
      </w:r>
    </w:p>
    <w:p w:rsidR="00000000" w:rsidDel="00000000" w:rsidP="00000000" w:rsidRDefault="00000000" w:rsidRPr="00000000" w14:paraId="0000006C">
      <w:pPr>
        <w:ind w:firstLine="567"/>
        <w:jc w:val="both"/>
        <w:rPr>
          <w:sz w:val="28"/>
          <w:szCs w:val="28"/>
        </w:rPr>
      </w:pPr>
      <w:r w:rsidDel="00000000" w:rsidR="00000000" w:rsidRPr="00000000">
        <w:rPr>
          <w:rtl w:val="0"/>
        </w:rPr>
      </w:r>
    </w:p>
    <w:p w:rsidR="00000000" w:rsidDel="00000000" w:rsidP="00000000" w:rsidRDefault="00000000" w:rsidRPr="00000000" w14:paraId="0000006D">
      <w:pPr>
        <w:ind w:firstLine="567"/>
        <w:jc w:val="both"/>
        <w:rPr>
          <w:sz w:val="28"/>
          <w:szCs w:val="28"/>
        </w:rPr>
      </w:pPr>
      <w:r w:rsidDel="00000000" w:rsidR="00000000" w:rsidRPr="00000000">
        <w:rPr>
          <w:sz w:val="28"/>
          <w:szCs w:val="28"/>
          <w:rtl w:val="0"/>
        </w:rPr>
        <w:t xml:space="preserve">13. Рішення міжвідомчої комісії може бути оскаржене відповідно до Закону України “Про адміністративну процедуру” та/або в судовому порядку.</w:t>
      </w:r>
    </w:p>
    <w:p w:rsidR="00000000" w:rsidDel="00000000" w:rsidP="00000000" w:rsidRDefault="00000000" w:rsidRPr="00000000" w14:paraId="0000006E">
      <w:pPr>
        <w:jc w:val="both"/>
        <w:rPr>
          <w:sz w:val="28"/>
          <w:szCs w:val="28"/>
        </w:rPr>
      </w:pPr>
      <w:r w:rsidDel="00000000" w:rsidR="00000000" w:rsidRPr="00000000">
        <w:rPr>
          <w:rtl w:val="0"/>
        </w:rPr>
      </w:r>
    </w:p>
    <w:p w:rsidR="00000000" w:rsidDel="00000000" w:rsidP="00000000" w:rsidRDefault="00000000" w:rsidRPr="00000000" w14:paraId="0000006F">
      <w:pPr>
        <w:tabs>
          <w:tab w:val="left" w:leader="none" w:pos="7088"/>
          <w:tab w:val="left" w:leader="none" w:pos="7230"/>
        </w:tabs>
        <w:jc w:val="both"/>
        <w:rPr>
          <w:sz w:val="28"/>
          <w:szCs w:val="28"/>
        </w:rPr>
      </w:pPr>
      <w:r w:rsidDel="00000000" w:rsidR="00000000" w:rsidRPr="00000000">
        <w:rPr>
          <w:rtl w:val="0"/>
        </w:rPr>
      </w:r>
    </w:p>
    <w:p w:rsidR="00000000" w:rsidDel="00000000" w:rsidP="00000000" w:rsidRDefault="00000000" w:rsidRPr="00000000" w14:paraId="00000070">
      <w:pPr>
        <w:tabs>
          <w:tab w:val="left" w:leader="none" w:pos="7088"/>
          <w:tab w:val="left" w:leader="none" w:pos="7230"/>
        </w:tabs>
        <w:jc w:val="both"/>
        <w:rPr>
          <w:sz w:val="28"/>
          <w:szCs w:val="28"/>
        </w:rPr>
      </w:pPr>
      <w:r w:rsidDel="00000000" w:rsidR="00000000" w:rsidRPr="00000000">
        <w:rPr>
          <w:sz w:val="28"/>
          <w:szCs w:val="28"/>
          <w:rtl w:val="0"/>
        </w:rPr>
        <w:t xml:space="preserve">Начальник Управління фізичного </w:t>
      </w:r>
    </w:p>
    <w:p w:rsidR="00000000" w:rsidDel="00000000" w:rsidP="00000000" w:rsidRDefault="00000000" w:rsidRPr="00000000" w14:paraId="00000071">
      <w:pPr>
        <w:tabs>
          <w:tab w:val="left" w:leader="none" w:pos="7088"/>
          <w:tab w:val="left" w:leader="none" w:pos="7230"/>
        </w:tabs>
        <w:jc w:val="both"/>
        <w:rPr>
          <w:sz w:val="28"/>
          <w:szCs w:val="28"/>
        </w:rPr>
      </w:pPr>
      <w:r w:rsidDel="00000000" w:rsidR="00000000" w:rsidRPr="00000000">
        <w:rPr>
          <w:sz w:val="28"/>
          <w:szCs w:val="28"/>
          <w:rtl w:val="0"/>
        </w:rPr>
        <w:t xml:space="preserve">та ментального здоров’я                                                        В’ячеслав ЧЕРНЕНКО</w:t>
      </w:r>
    </w:p>
    <w:p w:rsidR="00000000" w:rsidDel="00000000" w:rsidP="00000000" w:rsidRDefault="00000000" w:rsidRPr="00000000" w14:paraId="00000072">
      <w:pPr>
        <w:rPr/>
      </w:pPr>
      <w:r w:rsidDel="00000000" w:rsidR="00000000" w:rsidRPr="00000000">
        <w:rPr>
          <w:rtl w:val="0"/>
        </w:rPr>
      </w:r>
    </w:p>
    <w:sectPr>
      <w:headerReference r:id="rId6" w:type="default"/>
      <w:pgSz w:h="16838" w:w="11906" w:orient="portrait"/>
      <w:pgMar w:bottom="1134" w:top="1134" w:left="1701" w:right="567" w:header="51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color w:val="2f5496"/>
      <w:sz w:val="40"/>
      <w:szCs w:val="40"/>
    </w:rPr>
  </w:style>
  <w:style w:type="paragraph" w:styleId="Heading2">
    <w:name w:val="heading 2"/>
    <w:basedOn w:val="Normal"/>
    <w:next w:val="Normal"/>
    <w:pPr>
      <w:keepNext w:val="1"/>
      <w:keepLines w:val="1"/>
      <w:spacing w:after="80" w:before="160" w:line="259" w:lineRule="auto"/>
    </w:pPr>
    <w:rPr>
      <w:color w:val="2f5496"/>
      <w:sz w:val="32"/>
      <w:szCs w:val="32"/>
    </w:rPr>
  </w:style>
  <w:style w:type="paragraph" w:styleId="Heading3">
    <w:name w:val="heading 3"/>
    <w:basedOn w:val="Normal"/>
    <w:next w:val="Normal"/>
    <w:pPr>
      <w:keepNext w:val="1"/>
      <w:keepLines w:val="1"/>
      <w:spacing w:after="80" w:before="160" w:line="259" w:lineRule="auto"/>
    </w:pPr>
    <w:rPr>
      <w:color w:val="2f5496"/>
      <w:sz w:val="28"/>
      <w:szCs w:val="28"/>
    </w:rPr>
  </w:style>
  <w:style w:type="paragraph" w:styleId="Heading4">
    <w:name w:val="heading 4"/>
    <w:basedOn w:val="Normal"/>
    <w:next w:val="Normal"/>
    <w:pPr>
      <w:keepNext w:val="1"/>
      <w:keepLines w:val="1"/>
      <w:spacing w:after="40" w:before="80" w:line="259" w:lineRule="auto"/>
    </w:pPr>
    <w:rPr>
      <w:i w:val="1"/>
      <w:iCs w:val="1"/>
      <w:color w:val="2f5496"/>
      <w:sz w:val="22"/>
      <w:szCs w:val="22"/>
    </w:rPr>
  </w:style>
  <w:style w:type="paragraph" w:styleId="Heading5">
    <w:name w:val="heading 5"/>
    <w:basedOn w:val="Normal"/>
    <w:next w:val="Normal"/>
    <w:pPr>
      <w:keepNext w:val="1"/>
      <w:keepLines w:val="1"/>
      <w:spacing w:after="40" w:before="80" w:line="259" w:lineRule="auto"/>
    </w:pPr>
    <w:rPr>
      <w:color w:val="2f5496"/>
      <w:sz w:val="22"/>
      <w:szCs w:val="22"/>
    </w:rPr>
  </w:style>
  <w:style w:type="paragraph" w:styleId="Heading6">
    <w:name w:val="heading 6"/>
    <w:basedOn w:val="Normal"/>
    <w:next w:val="Normal"/>
    <w:pPr>
      <w:keepNext w:val="1"/>
      <w:keepLines w:val="1"/>
      <w:spacing w:before="40" w:line="259" w:lineRule="auto"/>
    </w:pPr>
    <w:rPr>
      <w:i w:val="1"/>
      <w:iCs w:val="1"/>
      <w:color w:val="595959"/>
      <w:sz w:val="22"/>
      <w:szCs w:val="22"/>
    </w:rPr>
  </w:style>
  <w:style w:type="paragraph" w:styleId="Title">
    <w:name w:val="Title"/>
    <w:basedOn w:val="Normal"/>
    <w:next w:val="Normal"/>
    <w:pPr>
      <w:spacing w:after="80" w:lineRule="auto"/>
    </w:pPr>
    <w:rPr>
      <w:sz w:val="56"/>
      <w:szCs w:val="56"/>
    </w:rPr>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