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A54F3" w:rsidRPr="00284C76" w:rsidRDefault="001A6B8A">
      <w:pPr>
        <w:shd w:val="clear" w:color="auto" w:fill="FFFFFF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bookmarkStart w:id="0" w:name="_heading=h.30j0zll" w:colFirst="0" w:colLast="0"/>
      <w:bookmarkEnd w:id="0"/>
      <w:r w:rsidRPr="00284C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ЗАТВЕРДЖЕНО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84C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постановою Кабінету Міністрів України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284C76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від                   2025 р. №</w:t>
      </w:r>
    </w:p>
    <w:p w14:paraId="00000002" w14:textId="77777777" w:rsidR="007A54F3" w:rsidRPr="00284C76" w:rsidRDefault="007A54F3">
      <w:pPr>
        <w:spacing w:after="24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uk-UA"/>
        </w:rPr>
      </w:pPr>
    </w:p>
    <w:p w14:paraId="00000003" w14:textId="77777777" w:rsidR="007A54F3" w:rsidRPr="00284C76" w:rsidRDefault="001A6B8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C76">
        <w:rPr>
          <w:rFonts w:ascii="Times New Roman" w:eastAsia="Times New Roman" w:hAnsi="Times New Roman" w:cs="Times New Roman"/>
          <w:smallCaps/>
          <w:sz w:val="28"/>
          <w:szCs w:val="28"/>
          <w:lang w:val="uk-UA"/>
        </w:rPr>
        <w:t>ЗМІНИ,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що вносяться до Порядку використання коштів, 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передбачених у державному бюджеті для здійснення 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заходів з підтримки та допомоги ветеранам війни, 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 xml:space="preserve">членам їх сімей та членам родин загиблих </w:t>
      </w:r>
    </w:p>
    <w:p w14:paraId="00000004" w14:textId="34B9DA21" w:rsidR="007A54F3" w:rsidRPr="00284C76" w:rsidRDefault="001A6B8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Пункт 4 доповнити підпунктом </w:t>
      </w:r>
      <w:r w:rsidR="005E6509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такого змісту:</w:t>
      </w:r>
    </w:p>
    <w:p w14:paraId="03040ED5" w14:textId="22EB7DCD" w:rsidR="00574011" w:rsidRPr="00284C76" w:rsidRDefault="00574011" w:rsidP="00FA619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“4) за напрямом, визначеним підпунктом 1</w:t>
      </w:r>
      <w:r w:rsidR="00210719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пункту 5 цього Порядку,</w:t>
      </w:r>
      <w:r w:rsidR="005E6509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— 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суб’єкти надання послуг з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посилення спроможностей окреми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категорі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ям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осіб, які захищали незалежність, суверенітет та територіальну цілісність України та отримали травму, поранення або захворювання, що призвел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обмеження 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повсякденного функціонування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</w:t>
      </w:r>
      <w:r w:rsidR="005E6509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суб’єкти надання послуг з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посилення спроможностей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).”.</w:t>
      </w:r>
    </w:p>
    <w:p w14:paraId="00000006" w14:textId="5DA795AE" w:rsidR="007A54F3" w:rsidRPr="00284C76" w:rsidRDefault="001A6B8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2. Пункт 5 доповнити підпунктом 1</w:t>
      </w:r>
      <w:r w:rsidR="00CD2C24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такого змісту: </w:t>
      </w:r>
    </w:p>
    <w:p w14:paraId="1F37E29F" w14:textId="6FD94F77" w:rsidR="00574011" w:rsidRPr="00284C76" w:rsidRDefault="00574011" w:rsidP="00FA619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“1</w:t>
      </w:r>
      <w:r w:rsidR="00CD2C24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реалізацію експериментального проекту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щодо надання послуг з посилення спроможностей окреми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категорі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ям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осіб, які захищали незалежність, суверенітет та територіальну цілісність України та отримали травму, поранення або захворювання, що призвел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обмеження 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повсякденного функціонування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Порядку реалізації експериментального проекту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надання послуг з посилення спроможностей 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окремим категоріям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категорій осіб, які захищали незалежність, суверенітет та територіальну цілісність України та отримали травму, поранення або захворювання, що призвел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обмеження 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повсякденного функціонування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затвердженого постановою Кабінету Міністрів України від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р. №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“Деякі питання реалізації експериментального проекту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надання послуг з посилення спроможностей 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окремим категоріям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осіб, які захищали незалежність, суверенітет та територіальну цілісність України та отримали травму, поранення або захворювання, що призвел</w:t>
      </w:r>
      <w:r w:rsidR="006E048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обмеження </w:t>
      </w:r>
      <w:r w:rsidR="00284C7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повсякденного функціонування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”.”.</w:t>
      </w:r>
    </w:p>
    <w:p w14:paraId="00000008" w14:textId="476F9870" w:rsidR="007A54F3" w:rsidRPr="00284C76" w:rsidRDefault="001A6B8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3. Пункт 6 доповнити абзацом такого змісту:</w:t>
      </w:r>
    </w:p>
    <w:p w14:paraId="00000009" w14:textId="1EE82074" w:rsidR="007A54F3" w:rsidRPr="00284C76" w:rsidRDefault="00574011" w:rsidP="0057401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“за напрямом, визначеним підпунктом 1</w:t>
      </w:r>
      <w:r w:rsidR="00CD2C24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пункту 5 цього Порядку, </w:t>
      </w:r>
      <w:r w:rsidR="005E6509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запланованої кількості осіб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отримувачів послуг з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посилення спроможностей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кількості суб’єктів надання послуг з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посилення спроможностей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кількості місяців строку договору </w:t>
      </w:r>
      <w:r w:rsidR="00FA6196"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про відшкодування вартості наданих послуг з посилення спроможностей</w:t>
      </w: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.”.</w:t>
      </w:r>
    </w:p>
    <w:p w14:paraId="22868E60" w14:textId="77777777" w:rsidR="00574011" w:rsidRPr="00284C76" w:rsidRDefault="00574011" w:rsidP="0057401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DB0EE0" w14:textId="5306E55C" w:rsidR="00574011" w:rsidRPr="00284C76" w:rsidRDefault="00574011" w:rsidP="005740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84C76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</w:t>
      </w:r>
    </w:p>
    <w:sectPr w:rsidR="00574011" w:rsidRPr="00284C76">
      <w:headerReference w:type="first" r:id="rId7"/>
      <w:footerReference w:type="first" r:id="rId8"/>
      <w:pgSz w:w="11901" w:h="16817"/>
      <w:pgMar w:top="1133" w:right="1133" w:bottom="1133" w:left="1700" w:header="51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1E946" w14:textId="77777777" w:rsidR="00183C4B" w:rsidRDefault="00183C4B">
      <w:pPr>
        <w:spacing w:after="0" w:line="240" w:lineRule="auto"/>
      </w:pPr>
      <w:r>
        <w:separator/>
      </w:r>
    </w:p>
  </w:endnote>
  <w:endnote w:type="continuationSeparator" w:id="0">
    <w:p w14:paraId="1A5B24C3" w14:textId="77777777" w:rsidR="00183C4B" w:rsidRDefault="0018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B" w14:textId="5092A012" w:rsidR="007A54F3" w:rsidRPr="00574011" w:rsidRDefault="007A54F3" w:rsidP="00574011">
    <w:pPr>
      <w:spacing w:after="150" w:line="240" w:lineRule="auto"/>
      <w:rPr>
        <w:rFonts w:ascii="Times New Roman" w:eastAsia="Times New Roman" w:hAnsi="Times New Roman" w:cs="Times New Roman"/>
        <w:sz w:val="28"/>
        <w:szCs w:val="28"/>
        <w:lang w:val="uk-UA"/>
      </w:rPr>
    </w:pPr>
  </w:p>
  <w:p w14:paraId="0000000C" w14:textId="77777777" w:rsidR="007A54F3" w:rsidRDefault="007A54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7189" w14:textId="77777777" w:rsidR="00183C4B" w:rsidRDefault="00183C4B">
      <w:pPr>
        <w:spacing w:after="0" w:line="240" w:lineRule="auto"/>
      </w:pPr>
      <w:r>
        <w:separator/>
      </w:r>
    </w:p>
  </w:footnote>
  <w:footnote w:type="continuationSeparator" w:id="0">
    <w:p w14:paraId="77637B47" w14:textId="77777777" w:rsidR="00183C4B" w:rsidRDefault="0018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7A54F3" w:rsidRDefault="007A54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F3"/>
    <w:rsid w:val="00183C4B"/>
    <w:rsid w:val="001A6B8A"/>
    <w:rsid w:val="00210719"/>
    <w:rsid w:val="00284C76"/>
    <w:rsid w:val="00574011"/>
    <w:rsid w:val="005E6509"/>
    <w:rsid w:val="006E048C"/>
    <w:rsid w:val="0070084D"/>
    <w:rsid w:val="007A54F3"/>
    <w:rsid w:val="00897456"/>
    <w:rsid w:val="00CD2C24"/>
    <w:rsid w:val="00CF17CA"/>
    <w:rsid w:val="00E613D7"/>
    <w:rsid w:val="00ED7E88"/>
    <w:rsid w:val="00FA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3D02"/>
  <w15:docId w15:val="{2981B01B-43B0-4DF9-A8E5-EAB0F875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link w:val="a5"/>
    <w:pPr>
      <w:spacing w:line="240" w:lineRule="auto"/>
    </w:pPr>
    <w:rPr>
      <w:sz w:val="20"/>
      <w:szCs w:val="20"/>
    </w:rPr>
  </w:style>
  <w:style w:type="paragraph" w:styleId="a6">
    <w:name w:val="Revision"/>
    <w:hidden/>
    <w:semiHidden/>
    <w:pPr>
      <w:spacing w:after="0" w:line="240" w:lineRule="auto"/>
    </w:pPr>
  </w:style>
  <w:style w:type="paragraph" w:styleId="a7">
    <w:name w:val="List Paragraph"/>
    <w:qFormat/>
    <w:pPr>
      <w:ind w:left="720"/>
      <w:contextualSpacing/>
    </w:pPr>
  </w:style>
  <w:style w:type="paragraph" w:styleId="a8">
    <w:name w:val="Normal (Web)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link w:val="aa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b">
    <w:name w:val="header"/>
    <w:link w:val="ac"/>
    <w:pPr>
      <w:tabs>
        <w:tab w:val="center" w:pos="4819"/>
        <w:tab w:val="right" w:pos="9639"/>
      </w:tabs>
      <w:spacing w:after="0" w:line="240" w:lineRule="auto"/>
    </w:pPr>
  </w:style>
  <w:style w:type="paragraph" w:styleId="ad">
    <w:name w:val="footer"/>
    <w:link w:val="ae"/>
    <w:pPr>
      <w:tabs>
        <w:tab w:val="center" w:pos="4819"/>
        <w:tab w:val="right" w:pos="9639"/>
      </w:tabs>
      <w:spacing w:after="0" w:line="240" w:lineRule="auto"/>
    </w:pPr>
  </w:style>
  <w:style w:type="paragraph" w:styleId="af">
    <w:name w:val="annotation subject"/>
    <w:basedOn w:val="a4"/>
    <w:next w:val="a4"/>
    <w:link w:val="af0"/>
    <w:semiHidden/>
    <w:rPr>
      <w:b/>
      <w:bCs/>
    </w:rPr>
  </w:style>
  <w:style w:type="paragraph" w:customStyle="1" w:styleId="af1">
    <w:name w:val="Нормальний текст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TableParagraph">
    <w:name w:val="Table Paragraph"/>
    <w:qFormat/>
    <w:pPr>
      <w:widowControl w:val="0"/>
      <w:spacing w:after="0" w:line="240" w:lineRule="auto"/>
      <w:ind w:left="107"/>
      <w:jc w:val="both"/>
    </w:pPr>
    <w:rPr>
      <w:rFonts w:ascii="Times New Roman" w:hAnsi="Times New Roman"/>
      <w:lang w:eastAsia="en-US"/>
    </w:rPr>
  </w:style>
  <w:style w:type="paragraph" w:customStyle="1" w:styleId="af2">
    <w:name w:val="Установа"/>
    <w:pPr>
      <w:keepNext/>
      <w:keepLines/>
      <w:spacing w:before="120" w:after="0" w:line="240" w:lineRule="auto"/>
      <w:jc w:val="center"/>
    </w:pPr>
    <w:rPr>
      <w:rFonts w:ascii="Antiqua" w:hAnsi="Antiqua"/>
      <w:b/>
      <w:sz w:val="40"/>
      <w:szCs w:val="20"/>
    </w:rPr>
  </w:style>
  <w:style w:type="paragraph" w:customStyle="1" w:styleId="af3">
    <w:name w:val="Вид документа"/>
    <w:basedOn w:val="af2"/>
    <w:pPr>
      <w:spacing w:before="360" w:after="240"/>
    </w:pPr>
    <w:rPr>
      <w:spacing w:val="20"/>
      <w:sz w:val="26"/>
    </w:rPr>
  </w:style>
  <w:style w:type="paragraph" w:customStyle="1" w:styleId="af4">
    <w:name w:val="Час та місце"/>
    <w:pPr>
      <w:keepNext/>
      <w:keepLines/>
      <w:spacing w:before="120" w:after="240" w:line="240" w:lineRule="auto"/>
      <w:jc w:val="center"/>
    </w:pPr>
    <w:rPr>
      <w:rFonts w:ascii="Antiqua" w:hAnsi="Antiqua"/>
      <w:sz w:val="26"/>
      <w:szCs w:val="20"/>
    </w:rPr>
  </w:style>
  <w:style w:type="paragraph" w:styleId="af5">
    <w:name w:val="footnote text"/>
    <w:link w:val="af6"/>
    <w:semiHidden/>
    <w:pPr>
      <w:spacing w:after="0" w:line="240" w:lineRule="auto"/>
    </w:pPr>
    <w:rPr>
      <w:sz w:val="20"/>
      <w:szCs w:val="20"/>
    </w:rPr>
  </w:style>
  <w:style w:type="paragraph" w:styleId="af7">
    <w:name w:val="endnote text"/>
    <w:link w:val="af8"/>
    <w:semiHidden/>
    <w:pPr>
      <w:spacing w:after="0" w:line="240" w:lineRule="auto"/>
    </w:pPr>
    <w:rPr>
      <w:sz w:val="20"/>
      <w:szCs w:val="20"/>
    </w:rPr>
  </w:style>
  <w:style w:type="character" w:styleId="af9">
    <w:name w:val="line number"/>
    <w:basedOn w:val="a0"/>
    <w:semiHidden/>
  </w:style>
  <w:style w:type="character" w:styleId="afa">
    <w:name w:val="Hyperlink"/>
    <w:basedOn w:val="a0"/>
    <w:semiHidden/>
    <w:rPr>
      <w:color w:val="0000FF"/>
      <w:u w:val="single"/>
    </w:rPr>
  </w:style>
  <w:style w:type="character" w:customStyle="1" w:styleId="a5">
    <w:name w:val="Текст примітки Знак"/>
    <w:basedOn w:val="a0"/>
    <w:link w:val="a4"/>
    <w:rPr>
      <w:sz w:val="20"/>
      <w:szCs w:val="20"/>
    </w:rPr>
  </w:style>
  <w:style w:type="character" w:styleId="afb">
    <w:name w:val="annotation reference"/>
    <w:basedOn w:val="a0"/>
    <w:semiHidden/>
    <w:rPr>
      <w:sz w:val="16"/>
      <w:szCs w:val="16"/>
    </w:rPr>
  </w:style>
  <w:style w:type="character" w:customStyle="1" w:styleId="rvts46">
    <w:name w:val="rvts46"/>
    <w:basedOn w:val="a0"/>
  </w:style>
  <w:style w:type="character" w:customStyle="1" w:styleId="aa">
    <w:name w:val="Текст у виносці Знак"/>
    <w:basedOn w:val="a0"/>
    <w:link w:val="a9"/>
    <w:semiHidden/>
    <w:rPr>
      <w:rFonts w:ascii="Segoe UI" w:hAnsi="Segoe UI"/>
      <w:sz w:val="18"/>
      <w:szCs w:val="18"/>
    </w:rPr>
  </w:style>
  <w:style w:type="character" w:customStyle="1" w:styleId="fontstyle01">
    <w:name w:val="fontstyle01"/>
    <w:basedOn w:val="a0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Верхній колонтитул Знак"/>
    <w:basedOn w:val="a0"/>
    <w:link w:val="ab"/>
  </w:style>
  <w:style w:type="character" w:customStyle="1" w:styleId="ae">
    <w:name w:val="Нижній колонтитул Знак"/>
    <w:basedOn w:val="a0"/>
    <w:link w:val="ad"/>
  </w:style>
  <w:style w:type="character" w:customStyle="1" w:styleId="af0">
    <w:name w:val="Тема примітки Знак"/>
    <w:basedOn w:val="a5"/>
    <w:link w:val="af"/>
    <w:semiHidden/>
    <w:rPr>
      <w:b/>
      <w:bCs/>
      <w:sz w:val="20"/>
      <w:szCs w:val="20"/>
    </w:rPr>
  </w:style>
  <w:style w:type="character" w:customStyle="1" w:styleId="rvts23">
    <w:name w:val="rvts23"/>
  </w:style>
  <w:style w:type="character" w:styleId="afc">
    <w:name w:val="footnote reference"/>
    <w:semiHidden/>
    <w:rPr>
      <w:vertAlign w:val="superscript"/>
    </w:rPr>
  </w:style>
  <w:style w:type="character" w:customStyle="1" w:styleId="af6">
    <w:name w:val="Текст виноски Знак"/>
    <w:link w:val="af5"/>
    <w:semiHidden/>
    <w:rPr>
      <w:sz w:val="20"/>
      <w:szCs w:val="20"/>
    </w:rPr>
  </w:style>
  <w:style w:type="character" w:styleId="afd">
    <w:name w:val="endnote reference"/>
    <w:semiHidden/>
    <w:rPr>
      <w:vertAlign w:val="superscript"/>
    </w:rPr>
  </w:style>
  <w:style w:type="character" w:customStyle="1" w:styleId="af8">
    <w:name w:val="Текст кінцевої виноски Знак"/>
    <w:link w:val="af7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0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08" w:type="dxa"/>
        <w:right w:w="108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581c93Uiv4hVb3YHKJeyhAiROw==">CgMxLjAyCWguMzBqMHpsbDgAaiIKFHN1Z2dlc3QubXY0YjRwMmlicnc1EgrQn9Cw0LLQu9C+aiIKFHN1Z2dlc3QudHQxNDhxNWM3eGJsEgrQn9Cw0LLQu9C+aiIKFHN1Z2dlc3QuYzNyaGg5bmkyY2JqEgrQn9Cw0LLQu9C+aiIKFHN1Z2dlc3Qua21uZ2JxaGY3NG9oEgrQn9Cw0LLQu9C+aiIKFHN1Z2dlc3QuYmt3ZGl1cjF4YmU2EgrQn9Cw0LLQu9C+aiIKFHN1Z2dlc3QubmlzeDJwYzl5OWYzEgrQn9Cw0LLQu9C+ciExQ2ZRcFFtWDJjcDhZT2Y4em1hZEtRcGllS25wZjdJU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1363</Words>
  <Characters>777</Characters>
  <Application>Microsoft Office Word</Application>
  <DocSecurity>0</DocSecurity>
  <Lines>6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Соболєв Юрій Миколайович</dc:creator>
  <cp:lastModifiedBy>Пухляк Павло Андрійович</cp:lastModifiedBy>
  <cp:revision>8</cp:revision>
  <dcterms:created xsi:type="dcterms:W3CDTF">2025-02-04T14:45:00Z</dcterms:created>
  <dcterms:modified xsi:type="dcterms:W3CDTF">2025-10-07T06:14:00Z</dcterms:modified>
</cp:coreProperties>
</file>