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3FE7" w14:textId="77777777" w:rsidR="00430922" w:rsidRPr="004F2D13" w:rsidRDefault="001816A0" w:rsidP="005632E6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sz w:val="28"/>
          <w:szCs w:val="22"/>
        </w:rPr>
      </w:pPr>
      <w:r w:rsidRPr="004F2D13">
        <w:rPr>
          <w:b/>
          <w:sz w:val="28"/>
          <w:szCs w:val="22"/>
        </w:rPr>
        <w:t>АНАЛІЗ РЕГУЛЯТОРНОГО ВПЛИВУ</w:t>
      </w:r>
    </w:p>
    <w:p w14:paraId="7DA83A03" w14:textId="3BF8E469" w:rsidR="00430922" w:rsidRDefault="00135490" w:rsidP="005632E6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sz w:val="26"/>
        </w:rPr>
      </w:pPr>
      <w:r>
        <w:rPr>
          <w:b/>
          <w:sz w:val="26"/>
        </w:rPr>
        <w:t>проект</w:t>
      </w:r>
      <w:r w:rsidR="001816A0">
        <w:rPr>
          <w:b/>
          <w:sz w:val="26"/>
        </w:rPr>
        <w:t xml:space="preserve">у постанови Кабінету Міністрів України </w:t>
      </w:r>
    </w:p>
    <w:p w14:paraId="6ECE6F3D" w14:textId="21FFEC33" w:rsidR="00C800CF" w:rsidRPr="00C800CF" w:rsidRDefault="00C800CF" w:rsidP="005632E6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bCs/>
          <w:sz w:val="26"/>
          <w:szCs w:val="26"/>
        </w:rPr>
      </w:pPr>
      <w:bookmarkStart w:id="0" w:name="_Hlk206748463"/>
      <w:r w:rsidRPr="00C800CF">
        <w:rPr>
          <w:b/>
          <w:bCs/>
          <w:sz w:val="26"/>
          <w:szCs w:val="26"/>
        </w:rPr>
        <w:t>“</w:t>
      </w:r>
      <w:r w:rsidR="005632E6" w:rsidRPr="005632E6">
        <w:rPr>
          <w:b/>
          <w:bCs/>
          <w:sz w:val="26"/>
          <w:szCs w:val="26"/>
        </w:rPr>
        <w:t>Деякі питання реалізації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</w:t>
      </w:r>
      <w:r w:rsidRPr="00C800CF">
        <w:rPr>
          <w:b/>
          <w:bCs/>
          <w:sz w:val="26"/>
          <w:szCs w:val="26"/>
        </w:rPr>
        <w:t>”</w:t>
      </w:r>
      <w:bookmarkEnd w:id="0"/>
    </w:p>
    <w:p w14:paraId="160288A7" w14:textId="0F8233DB" w:rsidR="00430922" w:rsidRPr="004F2D13" w:rsidRDefault="001816A0" w:rsidP="004F2D13">
      <w:pPr>
        <w:spacing w:before="24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I. Визначення та аналіз проблеми, яку пропонується розв</w:t>
      </w:r>
      <w:r w:rsidR="004F2D13">
        <w:rPr>
          <w:rFonts w:ascii="Times New Roman" w:hAnsi="Times New Roman"/>
          <w:b/>
          <w:sz w:val="26"/>
        </w:rPr>
        <w:t>’</w:t>
      </w:r>
      <w:r>
        <w:rPr>
          <w:rFonts w:ascii="Times New Roman" w:hAnsi="Times New Roman"/>
          <w:b/>
          <w:sz w:val="26"/>
        </w:rPr>
        <w:t>язати шляхом державного регулювання, оцінка важливості цієї проблеми.</w:t>
      </w:r>
    </w:p>
    <w:p w14:paraId="5642576D" w14:textId="6F1386D5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>Відсутність вчасної, системної та спеціалізованої допомоги в умовах гострої реакції на травму, яка виникла у зв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>язку з бойовими діями або проявами захворювань, що пов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>язані з проходженням військової служби або із захистом Батьківщини, може завдати непоправної шкоди психічному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 xml:space="preserve">ю людини, призвести до формування неадекватного ставлення до власних обмежень, сприяти розвитку депресивних станів, тривоги, посттравматичного стресового розладу та інших патологічних змін в особистості. </w:t>
      </w:r>
    </w:p>
    <w:p w14:paraId="6AF6CED6" w14:textId="625B40DF" w:rsidR="00943F83" w:rsidRPr="001203FD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203FD">
        <w:rPr>
          <w:rFonts w:ascii="Times New Roman" w:hAnsi="Times New Roman"/>
          <w:sz w:val="26"/>
          <w:szCs w:val="26"/>
        </w:rPr>
        <w:t xml:space="preserve">Прийняття акта обумовлене необхідністю забезпечення єдиної системи адаптації та відновлення </w:t>
      </w:r>
      <w:r w:rsidR="001203FD" w:rsidRPr="001203FD">
        <w:rPr>
          <w:rFonts w:ascii="Times New Roman" w:hAnsi="Times New Roman"/>
          <w:sz w:val="26"/>
          <w:szCs w:val="26"/>
        </w:rPr>
        <w:t>окремих категорій осіб, які повністю або частково втратили зір та захищали незалежність, суверенітет та територіальну цілісність України</w:t>
      </w:r>
      <w:r w:rsidRPr="001203FD">
        <w:rPr>
          <w:rFonts w:ascii="Times New Roman" w:hAnsi="Times New Roman"/>
          <w:sz w:val="26"/>
          <w:szCs w:val="26"/>
        </w:rPr>
        <w:t xml:space="preserve">. </w:t>
      </w:r>
    </w:p>
    <w:p w14:paraId="0A36F73D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Проект акта спрямований на досягнення таких цілей: </w:t>
      </w:r>
    </w:p>
    <w:p w14:paraId="156407A7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забезпечення надання медичної допомоги, супроводу, навчальних послуг з адаптації та психологічної підтримки отримувачам послуг з адаптації; </w:t>
      </w:r>
    </w:p>
    <w:p w14:paraId="714AD4C3" w14:textId="3C292273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>створення умов для фізичної доступності об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>єктів інфраструктури, включаючи переобладнання житла, адаптацію транспортних засобів, громадських, публічних та робочих місць для осіб, які повністю або частково втратили зір;</w:t>
      </w:r>
    </w:p>
    <w:p w14:paraId="5F0C6919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створення умов для активної участі отримувачів послуг у житті суспільства та їхньої повноцінної інтеграції в громаду; </w:t>
      </w:r>
    </w:p>
    <w:p w14:paraId="09864757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формування та відновлення в осіб з інвалідністю внаслідок війни, які повністю або частково втратили зір, необхідних щоденних навичок самообслуговування, орієнтування в просторі та мобільності, письма та читання, користування </w:t>
      </w:r>
      <w:proofErr w:type="spellStart"/>
      <w:r w:rsidRPr="00943F83">
        <w:rPr>
          <w:rFonts w:ascii="Times New Roman" w:hAnsi="Times New Roman"/>
          <w:sz w:val="26"/>
          <w:szCs w:val="26"/>
        </w:rPr>
        <w:t>асистивними</w:t>
      </w:r>
      <w:proofErr w:type="spellEnd"/>
      <w:r w:rsidRPr="00943F83">
        <w:rPr>
          <w:rFonts w:ascii="Times New Roman" w:hAnsi="Times New Roman"/>
          <w:sz w:val="26"/>
          <w:szCs w:val="26"/>
        </w:rPr>
        <w:t xml:space="preserve"> та сучасними інформаційними технологіями; </w:t>
      </w:r>
    </w:p>
    <w:p w14:paraId="3E4DF849" w14:textId="2FEFFB83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>забезпечення професійної перекваліфікації та адаптації отримувачів послуг до нових умов праці для їхнього успішного працевлаштування та соціально</w:t>
      </w:r>
      <w:r w:rsidR="00B8163A">
        <w:rPr>
          <w:rFonts w:ascii="Times New Roman" w:hAnsi="Times New Roman"/>
          <w:sz w:val="26"/>
          <w:szCs w:val="26"/>
        </w:rPr>
        <w:t>—</w:t>
      </w:r>
      <w:r w:rsidRPr="00943F83">
        <w:rPr>
          <w:rFonts w:ascii="Times New Roman" w:hAnsi="Times New Roman"/>
          <w:sz w:val="26"/>
          <w:szCs w:val="26"/>
        </w:rPr>
        <w:t>економічної самостійності;</w:t>
      </w:r>
      <w:r w:rsidR="00943F83" w:rsidRPr="00943F83">
        <w:rPr>
          <w:rFonts w:ascii="Times New Roman" w:hAnsi="Times New Roman"/>
          <w:sz w:val="26"/>
          <w:szCs w:val="26"/>
        </w:rPr>
        <w:t xml:space="preserve"> </w:t>
      </w:r>
    </w:p>
    <w:p w14:paraId="7F5DE5D4" w14:textId="77777777" w:rsidR="00943F83" w:rsidRDefault="00943F83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формування мотивації в осіб з інвалідністю внаслідок війни, які повністю або частково втратили зір, до довготривалої реабілітації та навчання специфічним навичкам та способам дій без зорового контролю; </w:t>
      </w:r>
    </w:p>
    <w:p w14:paraId="62F4EFB1" w14:textId="64D22F5A" w:rsidR="00C800CF" w:rsidRDefault="00943F83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>формування у рідних та близьких осіб з інвалідністю внаслідок війни, що повністю або частково втратили зір, адекватного ставлення до відсутності зору у члена сім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>ї.</w:t>
      </w:r>
    </w:p>
    <w:p w14:paraId="415BDD28" w14:textId="7B17FCB0" w:rsidR="00235D7C" w:rsidRPr="00235D7C" w:rsidRDefault="00235D7C" w:rsidP="00B8163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5D7C">
        <w:rPr>
          <w:rFonts w:ascii="Times New Roman" w:hAnsi="Times New Roman"/>
          <w:sz w:val="26"/>
          <w:szCs w:val="26"/>
        </w:rPr>
        <w:t>Відповідно до пункту 9 послуги з адаптації здійснюються на таких рівнях:</w:t>
      </w:r>
    </w:p>
    <w:p w14:paraId="6A369681" w14:textId="330E1E17" w:rsidR="00515EF4" w:rsidRP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1) перший рівень — забезпечує надання послуг з адаптації під час надання особі — отримувачу послуг з адаптації стаціонарних медичних послуг у закладах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>я з урахуванням отриманих травм, поранень та захворювань, а також у закладах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>я відповідно до наказу Міністерства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>я України від 13.02.2025 р. №</w:t>
      </w:r>
      <w:r w:rsidR="005632E6">
        <w:rPr>
          <w:rFonts w:ascii="Times New Roman" w:hAnsi="Times New Roman"/>
          <w:sz w:val="26"/>
          <w:szCs w:val="26"/>
        </w:rPr>
        <w:t> </w:t>
      </w:r>
      <w:r w:rsidRPr="00515EF4">
        <w:rPr>
          <w:rFonts w:ascii="Times New Roman" w:hAnsi="Times New Roman"/>
          <w:sz w:val="26"/>
          <w:szCs w:val="26"/>
        </w:rPr>
        <w:t xml:space="preserve">253 “Про затвердження нових клінічних протоколів за темою “Бойова травма”. </w:t>
      </w:r>
    </w:p>
    <w:p w14:paraId="7FA4D31B" w14:textId="2A29D7D6" w:rsidR="00515EF4" w:rsidRP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lastRenderedPageBreak/>
        <w:t>На першому рівні забезпечується комплекс заходів, що здійснюють фахівці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5EF4">
        <w:rPr>
          <w:rFonts w:ascii="Times New Roman" w:hAnsi="Times New Roman"/>
          <w:sz w:val="26"/>
          <w:szCs w:val="26"/>
        </w:rPr>
        <w:t xml:space="preserve">з реабілітації, які працюють в реабілітаційних закладах, відділеннях, підрозділах у складі </w:t>
      </w:r>
      <w:proofErr w:type="spellStart"/>
      <w:r w:rsidRPr="00515EF4">
        <w:rPr>
          <w:rFonts w:ascii="Times New Roman" w:hAnsi="Times New Roman"/>
          <w:sz w:val="26"/>
          <w:szCs w:val="26"/>
        </w:rPr>
        <w:t>мультидисциплінарної</w:t>
      </w:r>
      <w:proofErr w:type="spellEnd"/>
      <w:r w:rsidRPr="00515EF4">
        <w:rPr>
          <w:rFonts w:ascii="Times New Roman" w:hAnsi="Times New Roman"/>
          <w:sz w:val="26"/>
          <w:szCs w:val="26"/>
        </w:rPr>
        <w:t xml:space="preserve"> реабілітаційної команди (зокрема, навчання основам догляду за собою з урахуванням втрати зору, консультування щодо раннього використання допоміжних засобів реабілітації та інформування пацієнта про можливість отримати послуги з адаптації та комплексної допомоги у різних сферах відповідно до пункту 17 Порядку забезпечення діяльності фахівців із супроводу ветеранів війни та демобілізованих осіб, затвердженого постановою Кабінету Міністрів України від 2 серпня 2024 р. № 881 (Офіційний вісник України, 2024 р., № 73, ст. 4365, № 99, ст. 6317). </w:t>
      </w:r>
    </w:p>
    <w:p w14:paraId="2A07C4F8" w14:textId="3C81ADB7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У разі виявлення пацієнтом бажання щодо отримання послуг з адаптації під час надання йому медичних послуг в закладі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я стаціонарно, до роботи з пацієнтом можуть долучатися зокрема (але не виключно): </w:t>
      </w:r>
    </w:p>
    <w:p w14:paraId="5C5EEE40" w14:textId="459133FC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суб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єкт надання послуг з адаптації; </w:t>
      </w:r>
    </w:p>
    <w:p w14:paraId="7807EED2" w14:textId="77777777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 xml:space="preserve">вчитель—дефектолог (спеціальний педагог), який має сертифікат про проходження курсу підвищення кваліфікації з орієнтування та мобільності з використанням білої тростини та без неї; </w:t>
      </w:r>
    </w:p>
    <w:p w14:paraId="4068B9B0" w14:textId="77777777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 xml:space="preserve">спеціаліст з адаптивних інформаційних технологій, який має другий (магістерський) рівень вищої освіти за спеціальністю відповідної галузі знань, зокрема у сфері інформаційних технологій та сертифікат з адаптивних інформаційних технологій (залучається для надання послуг з ознайомлення із сучасними інформаційними технологіями, що забезпечують доступ до комунікації та інформації). </w:t>
      </w:r>
    </w:p>
    <w:p w14:paraId="357AB0C9" w14:textId="42E62322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Фахівці з реабілітації у сфері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Pr="00515EF4">
        <w:rPr>
          <w:rFonts w:ascii="Times New Roman" w:hAnsi="Times New Roman"/>
          <w:sz w:val="26"/>
          <w:szCs w:val="26"/>
        </w:rPr>
        <w:t>мультидисциплінарних</w:t>
      </w:r>
      <w:proofErr w:type="spellEnd"/>
      <w:r w:rsidRPr="00515EF4">
        <w:rPr>
          <w:rFonts w:ascii="Times New Roman" w:hAnsi="Times New Roman"/>
          <w:sz w:val="26"/>
          <w:szCs w:val="26"/>
        </w:rPr>
        <w:t xml:space="preserve"> реабілітаційних команд закладів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я можуть пройти навчання та вдосконалення знань і навичок в рамках безперервного професійного розвитку (за бажанням) з метою </w:t>
      </w:r>
      <w:r w:rsidRPr="001203FD">
        <w:rPr>
          <w:rFonts w:ascii="Times New Roman" w:hAnsi="Times New Roman"/>
          <w:sz w:val="26"/>
          <w:szCs w:val="26"/>
        </w:rPr>
        <w:t xml:space="preserve">здобути відповідні знання та навички щодо навчання </w:t>
      </w:r>
      <w:r w:rsidR="001203FD" w:rsidRPr="001203FD">
        <w:rPr>
          <w:rFonts w:ascii="Times New Roman" w:hAnsi="Times New Roman"/>
          <w:sz w:val="26"/>
          <w:szCs w:val="26"/>
        </w:rPr>
        <w:t>окремих категорій осіб, які повністю або частково втратили зір та захищали незалежність, суверенітет та територіальну цілісність України</w:t>
      </w:r>
      <w:r w:rsidRPr="001203FD">
        <w:rPr>
          <w:rFonts w:ascii="Times New Roman" w:hAnsi="Times New Roman"/>
          <w:sz w:val="26"/>
          <w:szCs w:val="26"/>
        </w:rPr>
        <w:t>, основам догляду</w:t>
      </w:r>
      <w:r w:rsidRPr="00515EF4">
        <w:rPr>
          <w:rFonts w:ascii="Times New Roman" w:hAnsi="Times New Roman"/>
          <w:sz w:val="26"/>
          <w:szCs w:val="26"/>
        </w:rPr>
        <w:t xml:space="preserve"> за собою з урахуванням втрати зору, консультування щодо раннього використання допоміжних засобів реабілітації (біла тростина, смартфон та інші засоби побутової адаптації). </w:t>
      </w:r>
    </w:p>
    <w:p w14:paraId="38321BE2" w14:textId="5BA23E3F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2) другий рівень — забезпечує комплексний підхід в наданні послуг з адаптації на базі відповідних закладів та установ, які мають необхідну матеріально</w:t>
      </w:r>
      <w:r w:rsidR="00B8163A">
        <w:rPr>
          <w:rFonts w:ascii="Times New Roman" w:hAnsi="Times New Roman"/>
          <w:sz w:val="26"/>
          <w:szCs w:val="26"/>
        </w:rPr>
        <w:t>—</w:t>
      </w:r>
      <w:r w:rsidRPr="00515EF4">
        <w:rPr>
          <w:rFonts w:ascii="Times New Roman" w:hAnsi="Times New Roman"/>
          <w:sz w:val="26"/>
          <w:szCs w:val="26"/>
        </w:rPr>
        <w:t xml:space="preserve">технічну базу, фахівців та відповідають вимогам, визначених цим Порядком. </w:t>
      </w:r>
    </w:p>
    <w:p w14:paraId="066BD4B9" w14:textId="3E2118D6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На другому рівні послуги з адаптації, що надаються у відповідних закладах, здійснюються відповідно до потреби особи — отримувача послуг з адаптації, а також з урахуванням навичок, отриманих під час проходження першого рівня, та включають навчання навичкам орієнтування в просторі та мобільності, формування щоденних навичок самообслуговування, ознайомлення з рельєфно</w:t>
      </w:r>
      <w:r w:rsidR="00B8163A">
        <w:rPr>
          <w:rFonts w:ascii="Times New Roman" w:hAnsi="Times New Roman"/>
          <w:sz w:val="26"/>
          <w:szCs w:val="26"/>
        </w:rPr>
        <w:t>—</w:t>
      </w:r>
      <w:r w:rsidRPr="00515EF4">
        <w:rPr>
          <w:rFonts w:ascii="Times New Roman" w:hAnsi="Times New Roman"/>
          <w:sz w:val="26"/>
          <w:szCs w:val="26"/>
        </w:rPr>
        <w:t xml:space="preserve">крапковою системою Брайля та читанням рельєфних малюнків, використання асистивних (допоміжних) технологій, що забезпечують доступ до комунікації та інформації, а також надається психологічний супровід особи — отримувача послуги з адаптації та її родини, інформування щодо можливостей участі в рекреаційних заходах та адаптивних видах спорту. </w:t>
      </w:r>
    </w:p>
    <w:p w14:paraId="159D2597" w14:textId="77777777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 xml:space="preserve">3) третій рівень — послуги з адаптації надаються на рівні громади. На цьому рівні забезпечується додаткове навчання і супровід для відпрацювання навичок орієнтування в просторі та мобільності за місцем проживання (квартира, будинок), організація простору </w:t>
      </w:r>
      <w:r w:rsidRPr="00515EF4">
        <w:rPr>
          <w:rFonts w:ascii="Times New Roman" w:hAnsi="Times New Roman"/>
          <w:sz w:val="26"/>
          <w:szCs w:val="26"/>
        </w:rPr>
        <w:lastRenderedPageBreak/>
        <w:t xml:space="preserve">для зручності особи — отримувача послуг з адаптації, побудови та відпрацювання пересування основними маршрутами поза місцем проживання тощо. </w:t>
      </w:r>
    </w:p>
    <w:p w14:paraId="03DAE391" w14:textId="5BE90622" w:rsidR="00235D7C" w:rsidRP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Супровід в громаді також включає комплексну соціальну послугу та адаптацію, допомогу у самообслуговуванні вдома, підтримку у сфері зайнятості та працевлаштування, організацію дозвілля, а також надання допомоги у вирішенні адміністративних, юридичних і соціальних питань.</w:t>
      </w:r>
    </w:p>
    <w:p w14:paraId="3FA0F715" w14:textId="56439D46" w:rsidR="00430922" w:rsidRPr="0058002C" w:rsidRDefault="001816A0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Проблемою, яку пропонується розв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 xml:space="preserve">язати шляхом державного регулювання, є </w:t>
      </w:r>
      <w:r w:rsidR="0058002C">
        <w:rPr>
          <w:rFonts w:ascii="Times New Roman" w:hAnsi="Times New Roman"/>
          <w:sz w:val="26"/>
        </w:rPr>
        <w:t xml:space="preserve">визначення </w:t>
      </w:r>
      <w:r w:rsidR="0058002C" w:rsidRPr="0058002C">
        <w:rPr>
          <w:rFonts w:ascii="Times New Roman" w:hAnsi="Times New Roman"/>
          <w:sz w:val="26"/>
          <w:szCs w:val="26"/>
        </w:rPr>
        <w:t xml:space="preserve">чіткого механізму та забезпечення процесу, у тому числі за рахунок коштів, передбачених у загальному фонді державного бюджету за бюджетною програмою “Заходи з підтримки та допомоги ветеранам війни, членам їх сімей та членам родин загиблих” відповідальним виконавцем </w:t>
      </w:r>
      <w:r w:rsidR="0058002C" w:rsidRPr="001203FD">
        <w:rPr>
          <w:rFonts w:ascii="Times New Roman" w:hAnsi="Times New Roman"/>
          <w:sz w:val="26"/>
          <w:szCs w:val="26"/>
        </w:rPr>
        <w:t xml:space="preserve">та головним розпорядником якої є Міністерство у справа ветеранів України, адаптації </w:t>
      </w:r>
      <w:r w:rsidR="001203FD" w:rsidRPr="001203FD">
        <w:rPr>
          <w:rFonts w:ascii="Times New Roman" w:hAnsi="Times New Roman"/>
          <w:sz w:val="26"/>
          <w:szCs w:val="26"/>
        </w:rPr>
        <w:t>окремих категорій осіб, які повністю або частково втратили зір та захищали незалежність, суверенітет та територіальну цілісність України</w:t>
      </w:r>
      <w:r w:rsidR="00515EF4">
        <w:rPr>
          <w:rFonts w:ascii="Times New Roman" w:hAnsi="Times New Roman"/>
          <w:sz w:val="26"/>
          <w:szCs w:val="26"/>
        </w:rPr>
        <w:t xml:space="preserve"> на першому та другому рівнях</w:t>
      </w:r>
      <w:r w:rsidR="00B8163A">
        <w:rPr>
          <w:rFonts w:ascii="Times New Roman" w:hAnsi="Times New Roman"/>
          <w:sz w:val="26"/>
          <w:szCs w:val="26"/>
        </w:rPr>
        <w:t xml:space="preserve">, </w:t>
      </w:r>
      <w:r w:rsidR="00515EF4" w:rsidRPr="00515EF4">
        <w:rPr>
          <w:rFonts w:ascii="Times New Roman" w:hAnsi="Times New Roman"/>
          <w:sz w:val="26"/>
          <w:szCs w:val="26"/>
        </w:rPr>
        <w:t>а на третьому рівні — за рахунок коштів місцевих бюджетів та інших не заборонених джерел фінансування</w:t>
      </w:r>
      <w:r w:rsidR="0058002C" w:rsidRPr="00515EF4">
        <w:rPr>
          <w:rFonts w:ascii="Times New Roman" w:hAnsi="Times New Roman"/>
          <w:sz w:val="26"/>
          <w:szCs w:val="26"/>
        </w:rPr>
        <w:t>.</w:t>
      </w:r>
    </w:p>
    <w:p w14:paraId="1D33C6FC" w14:textId="6205F7D3" w:rsidR="00430922" w:rsidRDefault="001816A0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Під час визначення проблеми, яку планується розв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>язати шляхом державного регулювання, встановлені основні групи осіб, на які така проблема має вплив:</w:t>
      </w:r>
    </w:p>
    <w:p w14:paraId="666569AB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000000"/>
          <w:insideV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3110"/>
        <w:gridCol w:w="3620"/>
      </w:tblGrid>
      <w:tr w:rsidR="00430922" w14:paraId="53755B79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A0D5" w14:textId="77777777" w:rsidR="00430922" w:rsidRDefault="001A3831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hyperlink r:id="rId7" w:tgtFrame="_blank" w:history="1">
              <w:r w:rsidR="001816A0">
                <w:rPr>
                  <w:rStyle w:val="10"/>
                  <w:sz w:val="26"/>
                  <w:lang w:val="uk-UA"/>
                </w:rPr>
                <w:t>Групи/підгрупи</w:t>
              </w:r>
            </w:hyperlink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F1CE" w14:textId="77777777" w:rsidR="00430922" w:rsidRDefault="001A3831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hyperlink r:id="rId8" w:tgtFrame="_blank" w:history="1">
              <w:r w:rsidR="001816A0">
                <w:rPr>
                  <w:rStyle w:val="10"/>
                  <w:sz w:val="26"/>
                  <w:lang w:val="uk-UA"/>
                </w:rPr>
                <w:t>Так</w:t>
              </w:r>
            </w:hyperlink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5149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Ні</w:t>
            </w:r>
          </w:p>
        </w:tc>
      </w:tr>
      <w:tr w:rsidR="00430922" w14:paraId="20A204AA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17C2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Громадяни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4F69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+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3222" w14:textId="7DD48A59" w:rsidR="00430922" w:rsidRDefault="00B8163A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—</w:t>
            </w:r>
          </w:p>
        </w:tc>
      </w:tr>
      <w:tr w:rsidR="00430922" w14:paraId="135CF6D8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BE16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Держава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FAAD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+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B0E5" w14:textId="06EE6051" w:rsidR="00430922" w:rsidRDefault="00B8163A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—</w:t>
            </w:r>
          </w:p>
        </w:tc>
      </w:tr>
      <w:tr w:rsidR="00430922" w14:paraId="08C700C0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720A" w14:textId="3AED7CC6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Суб</w:t>
            </w:r>
            <w:r w:rsidR="004F2D13">
              <w:rPr>
                <w:rStyle w:val="10"/>
                <w:sz w:val="26"/>
                <w:lang w:val="uk-UA"/>
              </w:rPr>
              <w:t>’</w:t>
            </w:r>
            <w:r>
              <w:rPr>
                <w:rStyle w:val="10"/>
                <w:sz w:val="26"/>
                <w:lang w:val="uk-UA"/>
              </w:rPr>
              <w:t xml:space="preserve">єкти господарювання 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E4F8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+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B0F8" w14:textId="32F996F5" w:rsidR="00430922" w:rsidRDefault="00B8163A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—</w:t>
            </w:r>
          </w:p>
        </w:tc>
      </w:tr>
      <w:tr w:rsidR="00430922" w14:paraId="21B679FF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7361" w14:textId="65EA0969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 xml:space="preserve">у </w:t>
            </w:r>
            <w:proofErr w:type="spellStart"/>
            <w:r>
              <w:rPr>
                <w:rStyle w:val="10"/>
                <w:sz w:val="26"/>
                <w:lang w:val="uk-UA"/>
              </w:rPr>
              <w:t>т.ч</w:t>
            </w:r>
            <w:proofErr w:type="spellEnd"/>
            <w:r>
              <w:rPr>
                <w:rStyle w:val="10"/>
                <w:sz w:val="26"/>
                <w:lang w:val="uk-UA"/>
              </w:rPr>
              <w:t>. суб</w:t>
            </w:r>
            <w:r w:rsidR="004F2D13">
              <w:rPr>
                <w:rStyle w:val="10"/>
                <w:sz w:val="26"/>
                <w:lang w:val="uk-UA"/>
              </w:rPr>
              <w:t>’</w:t>
            </w:r>
            <w:r>
              <w:rPr>
                <w:rStyle w:val="10"/>
                <w:sz w:val="26"/>
                <w:lang w:val="uk-UA"/>
              </w:rPr>
              <w:t>єкти малого підприємництва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41D4" w14:textId="0C5A309A" w:rsidR="00430922" w:rsidRDefault="00B8163A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—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49F0" w14:textId="5B8355D0" w:rsidR="00430922" w:rsidRDefault="006F2BBC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+</w:t>
            </w:r>
          </w:p>
        </w:tc>
      </w:tr>
    </w:tbl>
    <w:p w14:paraId="7072DE23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14:paraId="01C0CEE4" w14:textId="41463541" w:rsidR="00430922" w:rsidRPr="001203FD" w:rsidRDefault="001816A0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Визначена проблема не може бути розв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>язана за допомогою наявних ринкових механізмів або чинних регуляторних актів, оскільки наразі в Україні відсутня нормативно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правова </w:t>
      </w:r>
      <w:r w:rsidRPr="00F37BBC">
        <w:rPr>
          <w:rFonts w:ascii="Times New Roman" w:hAnsi="Times New Roman"/>
          <w:sz w:val="26"/>
        </w:rPr>
        <w:t xml:space="preserve">база, яка б охоплювала все коло питань </w:t>
      </w:r>
      <w:r w:rsidR="00705C5E" w:rsidRPr="00F37BBC">
        <w:rPr>
          <w:rFonts w:ascii="Times New Roman" w:hAnsi="Times New Roman"/>
          <w:sz w:val="26"/>
          <w:szCs w:val="26"/>
        </w:rPr>
        <w:t xml:space="preserve">адаптації </w:t>
      </w:r>
      <w:r w:rsidR="002C7C91" w:rsidRPr="00F37BBC">
        <w:rPr>
          <w:rFonts w:ascii="Times New Roman" w:hAnsi="Times New Roman"/>
          <w:sz w:val="26"/>
          <w:szCs w:val="26"/>
        </w:rPr>
        <w:t xml:space="preserve">та відновлення </w:t>
      </w:r>
      <w:r w:rsidR="00F37BBC" w:rsidRPr="00F37BBC">
        <w:rPr>
          <w:rFonts w:ascii="Times New Roman" w:hAnsi="Times New Roman"/>
          <w:sz w:val="26"/>
          <w:szCs w:val="26"/>
        </w:rPr>
        <w:t>окремих категорій осіб, які повністю або частково втратили зір та захищали незалежність, суверенітет та територіальну цілісність України</w:t>
      </w:r>
      <w:r w:rsidRPr="00F37BBC">
        <w:rPr>
          <w:rFonts w:ascii="Times New Roman" w:hAnsi="Times New Roman"/>
          <w:sz w:val="26"/>
          <w:szCs w:val="26"/>
        </w:rPr>
        <w:t>.</w:t>
      </w:r>
    </w:p>
    <w:p w14:paraId="7B80D5F7" w14:textId="13B10FE5" w:rsidR="00705C5E" w:rsidRPr="001203FD" w:rsidRDefault="001816A0" w:rsidP="00B8163A">
      <w:pPr>
        <w:pStyle w:val="2"/>
        <w:spacing w:line="240" w:lineRule="auto"/>
        <w:ind w:firstLine="567"/>
        <w:jc w:val="both"/>
        <w:rPr>
          <w:rStyle w:val="4"/>
          <w:sz w:val="26"/>
          <w:szCs w:val="26"/>
          <w:lang w:val="uk-UA"/>
        </w:rPr>
      </w:pPr>
      <w:r w:rsidRPr="001203FD">
        <w:rPr>
          <w:rStyle w:val="4"/>
          <w:sz w:val="26"/>
          <w:szCs w:val="26"/>
          <w:lang w:val="uk-UA"/>
        </w:rPr>
        <w:t xml:space="preserve">Реалізація </w:t>
      </w:r>
      <w:proofErr w:type="spellStart"/>
      <w:r w:rsidRPr="001203FD">
        <w:rPr>
          <w:rStyle w:val="4"/>
          <w:sz w:val="26"/>
          <w:szCs w:val="26"/>
          <w:lang w:val="uk-UA"/>
        </w:rPr>
        <w:t>про</w:t>
      </w:r>
      <w:r w:rsidR="00735CCD" w:rsidRPr="001203FD">
        <w:rPr>
          <w:rStyle w:val="4"/>
          <w:sz w:val="26"/>
          <w:szCs w:val="26"/>
          <w:lang w:val="uk-UA"/>
        </w:rPr>
        <w:t>є</w:t>
      </w:r>
      <w:r w:rsidRPr="001203FD">
        <w:rPr>
          <w:rStyle w:val="4"/>
          <w:sz w:val="26"/>
          <w:szCs w:val="26"/>
          <w:lang w:val="uk-UA"/>
        </w:rPr>
        <w:t>кту</w:t>
      </w:r>
      <w:proofErr w:type="spellEnd"/>
      <w:r w:rsidRPr="001203FD">
        <w:rPr>
          <w:rStyle w:val="4"/>
          <w:sz w:val="26"/>
          <w:szCs w:val="26"/>
          <w:lang w:val="uk-UA"/>
        </w:rPr>
        <w:t xml:space="preserve"> </w:t>
      </w:r>
      <w:proofErr w:type="spellStart"/>
      <w:r w:rsidRPr="001203FD">
        <w:rPr>
          <w:rStyle w:val="4"/>
          <w:sz w:val="26"/>
          <w:szCs w:val="26"/>
          <w:lang w:val="uk-UA"/>
        </w:rPr>
        <w:t>акта</w:t>
      </w:r>
      <w:proofErr w:type="spellEnd"/>
      <w:r w:rsidRPr="001203FD">
        <w:rPr>
          <w:rStyle w:val="4"/>
          <w:sz w:val="26"/>
          <w:szCs w:val="26"/>
          <w:lang w:val="uk-UA"/>
        </w:rPr>
        <w:t xml:space="preserve"> дозволить </w:t>
      </w:r>
      <w:r w:rsidR="002C7C91" w:rsidRPr="001203FD">
        <w:rPr>
          <w:rStyle w:val="4"/>
          <w:sz w:val="26"/>
          <w:szCs w:val="26"/>
          <w:lang w:val="uk-UA"/>
        </w:rPr>
        <w:t xml:space="preserve">створення комплексної системи адаптації та відновлення </w:t>
      </w:r>
      <w:r w:rsidR="001203FD" w:rsidRPr="001203FD">
        <w:rPr>
          <w:sz w:val="26"/>
          <w:szCs w:val="26"/>
          <w:lang w:val="uk-UA"/>
        </w:rPr>
        <w:t>окремих категорій осіб, які повністю або частково втратили зір та захищали незалежність, суверенітет та територіальну цілісність України</w:t>
      </w:r>
      <w:r w:rsidR="00705C5E" w:rsidRPr="001203FD">
        <w:rPr>
          <w:rStyle w:val="4"/>
          <w:sz w:val="26"/>
          <w:szCs w:val="26"/>
          <w:lang w:val="uk-UA"/>
        </w:rPr>
        <w:t>:</w:t>
      </w:r>
    </w:p>
    <w:p w14:paraId="3CB07FCA" w14:textId="5F98A603" w:rsidR="00705C5E" w:rsidRPr="00705C5E" w:rsidRDefault="00705C5E" w:rsidP="00B8163A">
      <w:pPr>
        <w:pStyle w:val="2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1203FD">
        <w:rPr>
          <w:sz w:val="26"/>
          <w:szCs w:val="26"/>
          <w:lang w:val="uk-UA"/>
        </w:rPr>
        <w:t>надання медичної</w:t>
      </w:r>
      <w:r w:rsidRPr="00705C5E">
        <w:rPr>
          <w:sz w:val="26"/>
          <w:szCs w:val="26"/>
          <w:lang w:val="uk-UA"/>
        </w:rPr>
        <w:t xml:space="preserve"> допомоги, супроводу, навчальних послуг з адаптації та психосоціальної допомоги, необхідних для ефективної адаптації особи </w:t>
      </w:r>
      <w:r w:rsidR="00B8163A">
        <w:rPr>
          <w:sz w:val="26"/>
          <w:szCs w:val="26"/>
          <w:lang w:val="uk-UA"/>
        </w:rPr>
        <w:t>—</w:t>
      </w:r>
      <w:r w:rsidRPr="00705C5E">
        <w:rPr>
          <w:sz w:val="26"/>
          <w:szCs w:val="26"/>
          <w:lang w:val="uk-UA"/>
        </w:rPr>
        <w:t xml:space="preserve"> отримувача послуг з адаптації;</w:t>
      </w:r>
    </w:p>
    <w:p w14:paraId="5A234D9C" w14:textId="41015310" w:rsidR="00705C5E" w:rsidRPr="00705C5E" w:rsidRDefault="00705C5E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C5E">
        <w:rPr>
          <w:rFonts w:ascii="Times New Roman" w:hAnsi="Times New Roman"/>
          <w:sz w:val="26"/>
          <w:szCs w:val="26"/>
        </w:rPr>
        <w:t>розробк</w:t>
      </w:r>
      <w:r>
        <w:rPr>
          <w:rFonts w:ascii="Times New Roman" w:hAnsi="Times New Roman"/>
          <w:sz w:val="26"/>
          <w:szCs w:val="26"/>
        </w:rPr>
        <w:t>и</w:t>
      </w:r>
      <w:r w:rsidRPr="00705C5E">
        <w:rPr>
          <w:rFonts w:ascii="Times New Roman" w:hAnsi="Times New Roman"/>
          <w:sz w:val="26"/>
          <w:szCs w:val="26"/>
        </w:rPr>
        <w:t xml:space="preserve"> та реалізаці</w:t>
      </w:r>
      <w:r>
        <w:rPr>
          <w:rFonts w:ascii="Times New Roman" w:hAnsi="Times New Roman"/>
          <w:sz w:val="26"/>
          <w:szCs w:val="26"/>
        </w:rPr>
        <w:t>ї</w:t>
      </w:r>
      <w:r w:rsidRPr="00705C5E">
        <w:rPr>
          <w:rFonts w:ascii="Times New Roman" w:hAnsi="Times New Roman"/>
          <w:sz w:val="26"/>
          <w:szCs w:val="26"/>
        </w:rPr>
        <w:t xml:space="preserve"> навчальних програм для осіб </w:t>
      </w:r>
      <w:r w:rsidR="00B8163A">
        <w:rPr>
          <w:rFonts w:ascii="Times New Roman" w:hAnsi="Times New Roman"/>
          <w:sz w:val="26"/>
          <w:szCs w:val="26"/>
        </w:rPr>
        <w:t>—</w:t>
      </w:r>
      <w:r w:rsidRPr="00705C5E">
        <w:rPr>
          <w:rFonts w:ascii="Times New Roman" w:hAnsi="Times New Roman"/>
          <w:sz w:val="26"/>
          <w:szCs w:val="26"/>
        </w:rPr>
        <w:t xml:space="preserve"> отримувачів послуг з адаптації, їхніх членів сім</w:t>
      </w:r>
      <w:r w:rsidR="004F2D13">
        <w:rPr>
          <w:rFonts w:ascii="Times New Roman" w:hAnsi="Times New Roman"/>
          <w:sz w:val="26"/>
          <w:szCs w:val="26"/>
        </w:rPr>
        <w:t>’</w:t>
      </w:r>
      <w:r w:rsidRPr="00705C5E">
        <w:rPr>
          <w:rFonts w:ascii="Times New Roman" w:hAnsi="Times New Roman"/>
          <w:sz w:val="26"/>
          <w:szCs w:val="26"/>
        </w:rPr>
        <w:t>ї та фахівців, які працюють у сфері адаптації та реабілітації;</w:t>
      </w:r>
    </w:p>
    <w:p w14:paraId="176542B9" w14:textId="4C691D46" w:rsidR="00705C5E" w:rsidRPr="00705C5E" w:rsidRDefault="00705C5E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C5E">
        <w:rPr>
          <w:rFonts w:ascii="Times New Roman" w:hAnsi="Times New Roman"/>
          <w:sz w:val="26"/>
          <w:szCs w:val="26"/>
        </w:rPr>
        <w:t xml:space="preserve">сприяння соціальній інтеграції осіб </w:t>
      </w:r>
      <w:r w:rsidR="00B8163A">
        <w:rPr>
          <w:rFonts w:ascii="Times New Roman" w:hAnsi="Times New Roman"/>
          <w:sz w:val="26"/>
          <w:szCs w:val="26"/>
        </w:rPr>
        <w:t>—</w:t>
      </w:r>
      <w:r w:rsidRPr="00705C5E">
        <w:rPr>
          <w:rFonts w:ascii="Times New Roman" w:hAnsi="Times New Roman"/>
          <w:sz w:val="26"/>
          <w:szCs w:val="26"/>
        </w:rPr>
        <w:t xml:space="preserve"> отримувачів послуг з адаптації, що створ</w:t>
      </w:r>
      <w:r>
        <w:rPr>
          <w:rFonts w:ascii="Times New Roman" w:hAnsi="Times New Roman"/>
          <w:sz w:val="26"/>
          <w:szCs w:val="26"/>
        </w:rPr>
        <w:t>ить</w:t>
      </w:r>
      <w:r w:rsidRPr="00705C5E">
        <w:rPr>
          <w:rFonts w:ascii="Times New Roman" w:hAnsi="Times New Roman"/>
          <w:sz w:val="26"/>
          <w:szCs w:val="26"/>
        </w:rPr>
        <w:t xml:space="preserve"> передумови для їхньої подальшої перекваліфікації та працевлаштування; </w:t>
      </w:r>
    </w:p>
    <w:p w14:paraId="22BD8003" w14:textId="75142AA6" w:rsidR="00705C5E" w:rsidRPr="00705C5E" w:rsidRDefault="00705C5E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C5E">
        <w:rPr>
          <w:rFonts w:ascii="Times New Roman" w:hAnsi="Times New Roman"/>
          <w:sz w:val="26"/>
          <w:szCs w:val="26"/>
        </w:rPr>
        <w:t xml:space="preserve">створення умов для </w:t>
      </w:r>
      <w:proofErr w:type="spellStart"/>
      <w:r w:rsidRPr="00705C5E">
        <w:rPr>
          <w:rFonts w:ascii="Times New Roman" w:hAnsi="Times New Roman"/>
          <w:sz w:val="26"/>
          <w:szCs w:val="26"/>
        </w:rPr>
        <w:t>безбар</w:t>
      </w:r>
      <w:r w:rsidR="004F2D13">
        <w:rPr>
          <w:rFonts w:ascii="Times New Roman" w:hAnsi="Times New Roman"/>
          <w:sz w:val="26"/>
          <w:szCs w:val="26"/>
        </w:rPr>
        <w:t>’</w:t>
      </w:r>
      <w:r w:rsidRPr="00705C5E">
        <w:rPr>
          <w:rFonts w:ascii="Times New Roman" w:hAnsi="Times New Roman"/>
          <w:sz w:val="26"/>
          <w:szCs w:val="26"/>
        </w:rPr>
        <w:t>єрного</w:t>
      </w:r>
      <w:proofErr w:type="spellEnd"/>
      <w:r w:rsidRPr="00705C5E">
        <w:rPr>
          <w:rFonts w:ascii="Times New Roman" w:hAnsi="Times New Roman"/>
          <w:sz w:val="26"/>
          <w:szCs w:val="26"/>
        </w:rPr>
        <w:t xml:space="preserve"> доступу до об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705C5E">
        <w:rPr>
          <w:rFonts w:ascii="Times New Roman" w:hAnsi="Times New Roman"/>
          <w:sz w:val="26"/>
          <w:szCs w:val="26"/>
        </w:rPr>
        <w:t>єктів інфраструктури, включаючи переобладнання житла, адаптацію транспортних засобів, громадських, публічних та робочих місць для осіб, які повністю або частково втратили зір;</w:t>
      </w:r>
    </w:p>
    <w:p w14:paraId="5AE4AD88" w14:textId="2383DEBA" w:rsidR="00705C5E" w:rsidRPr="00705C5E" w:rsidRDefault="00705C5E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C5E">
        <w:rPr>
          <w:rFonts w:ascii="Times New Roman" w:hAnsi="Times New Roman"/>
          <w:sz w:val="26"/>
          <w:szCs w:val="26"/>
        </w:rPr>
        <w:lastRenderedPageBreak/>
        <w:t xml:space="preserve">залучення організацій громадянського суспільства до процесу соціальної адаптації осіб </w:t>
      </w:r>
      <w:r w:rsidR="00B8163A">
        <w:rPr>
          <w:rFonts w:ascii="Times New Roman" w:hAnsi="Times New Roman"/>
          <w:sz w:val="26"/>
          <w:szCs w:val="26"/>
        </w:rPr>
        <w:t>—</w:t>
      </w:r>
      <w:r w:rsidRPr="00705C5E">
        <w:rPr>
          <w:rFonts w:ascii="Times New Roman" w:hAnsi="Times New Roman"/>
          <w:sz w:val="26"/>
          <w:szCs w:val="26"/>
        </w:rPr>
        <w:t xml:space="preserve"> отримувачів послуг з адаптації;</w:t>
      </w:r>
    </w:p>
    <w:p w14:paraId="5CCDC323" w14:textId="5F7D427A" w:rsidR="00430922" w:rsidRPr="00705C5E" w:rsidRDefault="00705C5E" w:rsidP="00B8163A">
      <w:pPr>
        <w:pStyle w:val="2"/>
        <w:spacing w:line="240" w:lineRule="auto"/>
        <w:ind w:firstLine="567"/>
        <w:jc w:val="both"/>
        <w:rPr>
          <w:rStyle w:val="4"/>
          <w:sz w:val="26"/>
          <w:szCs w:val="26"/>
          <w:lang w:val="uk-UA"/>
        </w:rPr>
      </w:pPr>
      <w:r w:rsidRPr="00705C5E">
        <w:rPr>
          <w:sz w:val="26"/>
          <w:szCs w:val="26"/>
          <w:lang w:val="uk-UA"/>
        </w:rPr>
        <w:t xml:space="preserve">контроль за якістю надання послуг з адаптації, моніторинг результативності програм та їх коригування відповідно до потреб осіб </w:t>
      </w:r>
      <w:r w:rsidR="00B8163A">
        <w:rPr>
          <w:sz w:val="26"/>
          <w:szCs w:val="26"/>
          <w:lang w:val="uk-UA"/>
        </w:rPr>
        <w:t>—</w:t>
      </w:r>
      <w:r w:rsidRPr="00705C5E">
        <w:rPr>
          <w:sz w:val="26"/>
          <w:szCs w:val="26"/>
          <w:lang w:val="uk-UA"/>
        </w:rPr>
        <w:t xml:space="preserve"> отримувачів послуг з адаптації</w:t>
      </w:r>
      <w:r w:rsidR="001816A0" w:rsidRPr="00705C5E">
        <w:rPr>
          <w:rStyle w:val="4"/>
          <w:sz w:val="26"/>
          <w:szCs w:val="26"/>
          <w:lang w:val="uk-UA"/>
        </w:rPr>
        <w:t>, підвищи</w:t>
      </w:r>
      <w:r w:rsidR="00B53A79">
        <w:rPr>
          <w:rStyle w:val="4"/>
          <w:sz w:val="26"/>
          <w:szCs w:val="26"/>
          <w:lang w:val="uk-UA"/>
        </w:rPr>
        <w:t>ть</w:t>
      </w:r>
      <w:r w:rsidR="001816A0" w:rsidRPr="00705C5E">
        <w:rPr>
          <w:rStyle w:val="4"/>
          <w:sz w:val="26"/>
          <w:szCs w:val="26"/>
          <w:lang w:val="uk-UA"/>
        </w:rPr>
        <w:t xml:space="preserve"> рівень якості життя цільових категорій отримувачів послуг.</w:t>
      </w:r>
    </w:p>
    <w:p w14:paraId="5259F41A" w14:textId="20C5647B" w:rsidR="007552BE" w:rsidRPr="004F2D13" w:rsidRDefault="001816A0" w:rsidP="004F2D13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Style w:val="4"/>
          <w:rFonts w:ascii="Times New Roman" w:hAnsi="Times New Roman"/>
          <w:sz w:val="26"/>
        </w:rPr>
        <w:t xml:space="preserve">Прийняття акта створить умови для </w:t>
      </w:r>
      <w:r w:rsidRPr="00916E8E">
        <w:rPr>
          <w:rStyle w:val="4"/>
          <w:rFonts w:ascii="Times New Roman" w:hAnsi="Times New Roman"/>
          <w:sz w:val="26"/>
        </w:rPr>
        <w:t xml:space="preserve">формування в Україні сучасної системи надання допомоги </w:t>
      </w:r>
      <w:r w:rsidR="00FC4F28" w:rsidRPr="00916E8E">
        <w:rPr>
          <w:rStyle w:val="4"/>
          <w:rFonts w:ascii="Times New Roman" w:hAnsi="Times New Roman"/>
          <w:sz w:val="26"/>
        </w:rPr>
        <w:t xml:space="preserve">з </w:t>
      </w:r>
      <w:r w:rsidR="00FC4F28" w:rsidRPr="00916E8E">
        <w:rPr>
          <w:rFonts w:ascii="Times New Roman" w:hAnsi="Times New Roman"/>
          <w:sz w:val="26"/>
          <w:szCs w:val="26"/>
        </w:rPr>
        <w:t xml:space="preserve">адаптації </w:t>
      </w:r>
      <w:r w:rsidR="008D4DB4" w:rsidRPr="00916E8E">
        <w:rPr>
          <w:rFonts w:ascii="Times New Roman" w:hAnsi="Times New Roman"/>
          <w:sz w:val="26"/>
          <w:szCs w:val="26"/>
        </w:rPr>
        <w:t xml:space="preserve">та відновлення </w:t>
      </w:r>
      <w:r w:rsidR="00916E8E" w:rsidRPr="00916E8E">
        <w:rPr>
          <w:rFonts w:ascii="Times New Roman" w:hAnsi="Times New Roman"/>
          <w:sz w:val="26"/>
          <w:szCs w:val="26"/>
        </w:rPr>
        <w:t>окремих категорій осіб, які повністю або частково втратили зір та захищали незалежність, суверенітет та територіальну цілісність України</w:t>
      </w:r>
      <w:r w:rsidRPr="00916E8E">
        <w:rPr>
          <w:rStyle w:val="4"/>
          <w:rFonts w:ascii="Times New Roman" w:hAnsi="Times New Roman"/>
          <w:sz w:val="26"/>
        </w:rPr>
        <w:t>,</w:t>
      </w:r>
      <w:r>
        <w:rPr>
          <w:rStyle w:val="4"/>
          <w:rFonts w:ascii="Times New Roman" w:hAnsi="Times New Roman"/>
          <w:sz w:val="26"/>
        </w:rPr>
        <w:t xml:space="preserve"> яка буде функціонувати та розвиватись за тими ж принципами, стандартами та правилами, за якими функціонують системи охорони здоров</w:t>
      </w:r>
      <w:r w:rsidR="004F2D13">
        <w:rPr>
          <w:rStyle w:val="4"/>
          <w:rFonts w:ascii="Times New Roman" w:hAnsi="Times New Roman"/>
          <w:sz w:val="26"/>
        </w:rPr>
        <w:t>’</w:t>
      </w:r>
      <w:r>
        <w:rPr>
          <w:rStyle w:val="4"/>
          <w:rFonts w:ascii="Times New Roman" w:hAnsi="Times New Roman"/>
          <w:sz w:val="26"/>
        </w:rPr>
        <w:t>я країн Євросоюзу. Прийняття акта водночас сприятиме розширенню ринку реабілітаційних послуг.</w:t>
      </w:r>
    </w:p>
    <w:p w14:paraId="076773E0" w14:textId="320B446D" w:rsidR="00430922" w:rsidRDefault="001816A0" w:rsidP="004F2D13">
      <w:pPr>
        <w:spacing w:before="240" w:line="240" w:lineRule="auto"/>
        <w:ind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II. Цілі державного регулюванн</w:t>
      </w:r>
      <w:r w:rsidR="004F2D13">
        <w:rPr>
          <w:rFonts w:ascii="Times New Roman" w:hAnsi="Times New Roman"/>
          <w:b/>
          <w:sz w:val="26"/>
        </w:rPr>
        <w:t>я</w:t>
      </w:r>
    </w:p>
    <w:p w14:paraId="20798C93" w14:textId="366BA9F0" w:rsidR="00235D7C" w:rsidRDefault="00235D7C" w:rsidP="00B8163A">
      <w:pPr>
        <w:spacing w:after="0" w:line="240" w:lineRule="auto"/>
        <w:ind w:firstLine="567"/>
        <w:jc w:val="both"/>
        <w:rPr>
          <w:rStyle w:val="4"/>
          <w:rFonts w:ascii="Times New Roman" w:hAnsi="Times New Roman"/>
          <w:sz w:val="26"/>
        </w:rPr>
      </w:pPr>
      <w:r w:rsidRPr="00751B99">
        <w:rPr>
          <w:rStyle w:val="4"/>
          <w:rFonts w:ascii="Times New Roman" w:hAnsi="Times New Roman"/>
          <w:sz w:val="26"/>
        </w:rPr>
        <w:t>Основними цілями державного регулювання є</w:t>
      </w:r>
      <w:r>
        <w:rPr>
          <w:rStyle w:val="4"/>
          <w:rFonts w:ascii="Times New Roman" w:hAnsi="Times New Roman"/>
          <w:sz w:val="26"/>
        </w:rPr>
        <w:t xml:space="preserve"> </w:t>
      </w:r>
      <w:r w:rsidR="008D4DB4">
        <w:rPr>
          <w:rStyle w:val="4"/>
          <w:rFonts w:ascii="Times New Roman" w:hAnsi="Times New Roman"/>
          <w:sz w:val="26"/>
        </w:rPr>
        <w:t>створення комплексної системи</w:t>
      </w:r>
      <w:r w:rsidRPr="00751B99">
        <w:rPr>
          <w:rStyle w:val="4"/>
          <w:rFonts w:ascii="Times New Roman" w:hAnsi="Times New Roman"/>
          <w:sz w:val="26"/>
        </w:rPr>
        <w:t xml:space="preserve"> за </w:t>
      </w:r>
      <w:r w:rsidRPr="00DD4B34">
        <w:rPr>
          <w:rStyle w:val="4"/>
          <w:rFonts w:ascii="Times New Roman" w:hAnsi="Times New Roman"/>
          <w:sz w:val="26"/>
        </w:rPr>
        <w:t xml:space="preserve">надання </w:t>
      </w:r>
      <w:r w:rsidR="008D4DB4" w:rsidRPr="00DD4B34">
        <w:rPr>
          <w:rStyle w:val="4"/>
          <w:rFonts w:ascii="Times New Roman" w:hAnsi="Times New Roman"/>
          <w:sz w:val="26"/>
        </w:rPr>
        <w:t xml:space="preserve">послуг з адаптації та відновлення </w:t>
      </w:r>
      <w:r w:rsidR="00DD4B34" w:rsidRPr="00DD4B34">
        <w:rPr>
          <w:rFonts w:ascii="Times New Roman" w:hAnsi="Times New Roman"/>
          <w:sz w:val="26"/>
          <w:szCs w:val="26"/>
        </w:rPr>
        <w:t>окремих категорій</w:t>
      </w:r>
      <w:r w:rsidR="00DD4B34">
        <w:rPr>
          <w:rFonts w:ascii="Times New Roman" w:hAnsi="Times New Roman"/>
          <w:sz w:val="26"/>
          <w:szCs w:val="26"/>
        </w:rPr>
        <w:t xml:space="preserve"> </w:t>
      </w:r>
      <w:r w:rsidR="00DD4B34" w:rsidRPr="00DD4B34">
        <w:rPr>
          <w:rFonts w:ascii="Times New Roman" w:hAnsi="Times New Roman"/>
          <w:sz w:val="26"/>
          <w:szCs w:val="26"/>
        </w:rPr>
        <w:t>осіб, які повністю або частково втратили зір та захищали незалежність, суверенітет та територіальну цілісність України</w:t>
      </w:r>
      <w:r w:rsidRPr="00DD4B34">
        <w:rPr>
          <w:rStyle w:val="4"/>
          <w:rFonts w:ascii="Times New Roman" w:hAnsi="Times New Roman"/>
          <w:sz w:val="26"/>
        </w:rPr>
        <w:t xml:space="preserve"> шляхом:</w:t>
      </w:r>
    </w:p>
    <w:p w14:paraId="72129560" w14:textId="065C7A71" w:rsidR="00235D7C" w:rsidRDefault="00235D7C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Style w:val="4"/>
          <w:rFonts w:ascii="Times New Roman" w:hAnsi="Times New Roman"/>
          <w:sz w:val="26"/>
        </w:rPr>
        <w:t xml:space="preserve">оптимізації механізму </w:t>
      </w:r>
      <w:r w:rsidRPr="00751B99">
        <w:rPr>
          <w:rFonts w:ascii="Times New Roman" w:hAnsi="Times New Roman"/>
          <w:sz w:val="26"/>
        </w:rPr>
        <w:t xml:space="preserve">розрахунку та використання коштів, спрямованих на відшкодування вартості наданих послуг із </w:t>
      </w:r>
      <w:r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8D4DB4">
        <w:rPr>
          <w:rFonts w:ascii="Times New Roman" w:hAnsi="Times New Roman"/>
          <w:sz w:val="26"/>
          <w:szCs w:val="26"/>
        </w:rPr>
        <w:t xml:space="preserve">та відновлення </w:t>
      </w:r>
      <w:r w:rsidR="00DD4B34" w:rsidRPr="00DD4B34">
        <w:rPr>
          <w:rFonts w:ascii="Times New Roman" w:hAnsi="Times New Roman"/>
          <w:sz w:val="26"/>
          <w:szCs w:val="26"/>
        </w:rPr>
        <w:t>окремих категорій</w:t>
      </w:r>
      <w:r w:rsidR="00DD4B34">
        <w:rPr>
          <w:rFonts w:ascii="Times New Roman" w:hAnsi="Times New Roman"/>
          <w:sz w:val="26"/>
          <w:szCs w:val="26"/>
        </w:rPr>
        <w:t xml:space="preserve"> </w:t>
      </w:r>
      <w:r w:rsidR="00DD4B34" w:rsidRPr="00DD4B34">
        <w:rPr>
          <w:rFonts w:ascii="Times New Roman" w:hAnsi="Times New Roman"/>
          <w:sz w:val="26"/>
          <w:szCs w:val="26"/>
        </w:rPr>
        <w:t>осіб, які повністю або частково втратили зір та захищали незалежність, суверенітет та територіальну цілісність України</w:t>
      </w:r>
      <w:r>
        <w:rPr>
          <w:rFonts w:ascii="Times New Roman" w:hAnsi="Times New Roman"/>
          <w:sz w:val="26"/>
        </w:rPr>
        <w:t>;</w:t>
      </w:r>
    </w:p>
    <w:p w14:paraId="4DF989FF" w14:textId="2542B4DB" w:rsidR="00235D7C" w:rsidRDefault="00235D7C" w:rsidP="00B8163A">
      <w:pPr>
        <w:spacing w:after="0" w:line="240" w:lineRule="auto"/>
        <w:ind w:firstLine="567"/>
        <w:jc w:val="both"/>
        <w:rPr>
          <w:rStyle w:val="4"/>
          <w:rFonts w:ascii="Times New Roman" w:hAnsi="Times New Roman"/>
          <w:sz w:val="26"/>
        </w:rPr>
      </w:pPr>
      <w:r w:rsidRPr="00A95537">
        <w:rPr>
          <w:rStyle w:val="4"/>
          <w:rFonts w:ascii="Times New Roman" w:hAnsi="Times New Roman"/>
          <w:sz w:val="26"/>
        </w:rPr>
        <w:t xml:space="preserve">удосконалення </w:t>
      </w:r>
      <w:r w:rsidR="007552BE">
        <w:rPr>
          <w:rStyle w:val="4"/>
          <w:rFonts w:ascii="Times New Roman" w:hAnsi="Times New Roman"/>
          <w:sz w:val="26"/>
        </w:rPr>
        <w:t xml:space="preserve">переліку послуг з </w:t>
      </w:r>
      <w:r w:rsidRPr="00A95537">
        <w:rPr>
          <w:rStyle w:val="4"/>
          <w:rFonts w:ascii="Times New Roman" w:hAnsi="Times New Roman"/>
          <w:sz w:val="26"/>
        </w:rPr>
        <w:t xml:space="preserve"> </w:t>
      </w:r>
      <w:r w:rsidR="007552BE"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8D4DB4">
        <w:rPr>
          <w:rFonts w:ascii="Times New Roman" w:hAnsi="Times New Roman"/>
          <w:sz w:val="26"/>
          <w:szCs w:val="26"/>
        </w:rPr>
        <w:t xml:space="preserve">та відновлення </w:t>
      </w:r>
      <w:r w:rsidR="00DD4B34" w:rsidRPr="00DD4B34">
        <w:rPr>
          <w:rFonts w:ascii="Times New Roman" w:hAnsi="Times New Roman"/>
          <w:sz w:val="26"/>
          <w:szCs w:val="26"/>
        </w:rPr>
        <w:t>окремих категорій</w:t>
      </w:r>
      <w:r w:rsidR="00DD4B34">
        <w:rPr>
          <w:rFonts w:ascii="Times New Roman" w:hAnsi="Times New Roman"/>
          <w:sz w:val="26"/>
          <w:szCs w:val="26"/>
        </w:rPr>
        <w:t xml:space="preserve"> </w:t>
      </w:r>
      <w:r w:rsidR="00DD4B34" w:rsidRPr="00DD4B34">
        <w:rPr>
          <w:rFonts w:ascii="Times New Roman" w:hAnsi="Times New Roman"/>
          <w:sz w:val="26"/>
          <w:szCs w:val="26"/>
        </w:rPr>
        <w:t>осіб, які повністю або частково втратили зір та захищали незалежність, суверенітет та територіальну цілісність України</w:t>
      </w:r>
      <w:r w:rsidR="007552BE">
        <w:rPr>
          <w:rStyle w:val="4"/>
          <w:rFonts w:ascii="Times New Roman" w:hAnsi="Times New Roman"/>
          <w:sz w:val="26"/>
        </w:rPr>
        <w:t>, що надаються</w:t>
      </w:r>
      <w:r w:rsidRPr="00A95537">
        <w:rPr>
          <w:rStyle w:val="4"/>
          <w:rFonts w:ascii="Times New Roman" w:hAnsi="Times New Roman"/>
          <w:sz w:val="26"/>
        </w:rPr>
        <w:t xml:space="preserve"> суб</w:t>
      </w:r>
      <w:r w:rsidR="004F2D13">
        <w:rPr>
          <w:rStyle w:val="4"/>
          <w:rFonts w:ascii="Times New Roman" w:hAnsi="Times New Roman"/>
          <w:sz w:val="26"/>
        </w:rPr>
        <w:t>’</w:t>
      </w:r>
      <w:r w:rsidRPr="00A95537">
        <w:rPr>
          <w:rStyle w:val="4"/>
          <w:rFonts w:ascii="Times New Roman" w:hAnsi="Times New Roman"/>
          <w:sz w:val="26"/>
        </w:rPr>
        <w:t>єкт</w:t>
      </w:r>
      <w:r w:rsidR="007552BE">
        <w:rPr>
          <w:rStyle w:val="4"/>
          <w:rFonts w:ascii="Times New Roman" w:hAnsi="Times New Roman"/>
          <w:sz w:val="26"/>
        </w:rPr>
        <w:t>ами</w:t>
      </w:r>
      <w:r w:rsidRPr="00A95537">
        <w:rPr>
          <w:rStyle w:val="4"/>
          <w:rFonts w:ascii="Times New Roman" w:hAnsi="Times New Roman"/>
          <w:sz w:val="26"/>
        </w:rPr>
        <w:t xml:space="preserve"> господарювання</w:t>
      </w:r>
      <w:r>
        <w:rPr>
          <w:rStyle w:val="4"/>
          <w:rFonts w:ascii="Times New Roman" w:hAnsi="Times New Roman"/>
          <w:sz w:val="26"/>
        </w:rPr>
        <w:t>;</w:t>
      </w:r>
    </w:p>
    <w:p w14:paraId="67064EA9" w14:textId="6BDB0B89" w:rsidR="004F2D13" w:rsidRDefault="00235D7C" w:rsidP="004F2D13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A95537">
        <w:rPr>
          <w:rStyle w:val="4"/>
          <w:rFonts w:ascii="Times New Roman" w:hAnsi="Times New Roman"/>
          <w:sz w:val="26"/>
        </w:rPr>
        <w:t>зменшення адміністративного навантаження на суб</w:t>
      </w:r>
      <w:r w:rsidR="004F2D13">
        <w:rPr>
          <w:rStyle w:val="4"/>
          <w:rFonts w:ascii="Times New Roman" w:hAnsi="Times New Roman"/>
          <w:sz w:val="26"/>
        </w:rPr>
        <w:t>’</w:t>
      </w:r>
      <w:r w:rsidRPr="00A95537">
        <w:rPr>
          <w:rStyle w:val="4"/>
          <w:rFonts w:ascii="Times New Roman" w:hAnsi="Times New Roman"/>
          <w:sz w:val="26"/>
        </w:rPr>
        <w:t>єктів господарювання</w:t>
      </w:r>
      <w:r w:rsidRPr="00751B99">
        <w:rPr>
          <w:rStyle w:val="4"/>
          <w:rFonts w:ascii="Times New Roman" w:hAnsi="Times New Roman"/>
          <w:sz w:val="26"/>
        </w:rPr>
        <w:t>.</w:t>
      </w:r>
    </w:p>
    <w:p w14:paraId="55CACD11" w14:textId="7EA04F12" w:rsidR="00430922" w:rsidRPr="004F2D13" w:rsidRDefault="001816A0" w:rsidP="004F2D13">
      <w:pPr>
        <w:spacing w:before="24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ІІІ. Визначення та оцінка альтернативних способів досягнення цілей</w:t>
      </w:r>
    </w:p>
    <w:p w14:paraId="620B10EE" w14:textId="46045CD6" w:rsidR="004F2D13" w:rsidRDefault="001816A0" w:rsidP="004F2D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6"/>
        </w:rPr>
      </w:pPr>
      <w:r w:rsidRPr="004F2D13">
        <w:rPr>
          <w:rFonts w:ascii="Times New Roman" w:hAnsi="Times New Roman"/>
          <w:sz w:val="26"/>
        </w:rPr>
        <w:t>Визначення альтернативних способів.</w:t>
      </w:r>
    </w:p>
    <w:p w14:paraId="306A4A05" w14:textId="77777777" w:rsidR="004F2D13" w:rsidRPr="004F2D13" w:rsidRDefault="004F2D13" w:rsidP="004F2D13">
      <w:pPr>
        <w:pStyle w:val="a3"/>
        <w:spacing w:line="240" w:lineRule="auto"/>
        <w:ind w:left="927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430922" w14:paraId="57D08F30" w14:textId="77777777" w:rsidTr="00485F1C">
        <w:trPr>
          <w:trHeight w:val="586"/>
        </w:trPr>
        <w:tc>
          <w:tcPr>
            <w:tcW w:w="2689" w:type="dxa"/>
            <w:vAlign w:val="center"/>
          </w:tcPr>
          <w:p w14:paraId="757C44EA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 альтернативи</w:t>
            </w:r>
          </w:p>
        </w:tc>
        <w:tc>
          <w:tcPr>
            <w:tcW w:w="7229" w:type="dxa"/>
            <w:vAlign w:val="center"/>
          </w:tcPr>
          <w:p w14:paraId="3B6CCBBB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Опис альтернативи</w:t>
            </w:r>
          </w:p>
        </w:tc>
      </w:tr>
      <w:tr w:rsidR="00430922" w:rsidRPr="00735CCD" w14:paraId="2A9B7B78" w14:textId="77777777" w:rsidTr="00485F1C">
        <w:tc>
          <w:tcPr>
            <w:tcW w:w="2689" w:type="dxa"/>
            <w:vAlign w:val="center"/>
          </w:tcPr>
          <w:p w14:paraId="5DBBCA16" w14:textId="75CA7C8D" w:rsidR="00430922" w:rsidRPr="004F2D13" w:rsidRDefault="001816A0" w:rsidP="004F2D13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2D13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F2D13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7711FE80" w14:textId="76EC4601" w:rsidR="002123C3" w:rsidRDefault="002123C3" w:rsidP="004F2D13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2123C3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7229" w:type="dxa"/>
            <w:vAlign w:val="center"/>
          </w:tcPr>
          <w:p w14:paraId="085D5B15" w14:textId="6A797F1C" w:rsidR="00430922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>
              <w:rPr>
                <w:rFonts w:ascii="Times New Roman" w:hAnsi="Times New Roman"/>
                <w:sz w:val="26"/>
              </w:rPr>
              <w:t>у пос</w:t>
            </w:r>
            <w:r w:rsidR="005475ED">
              <w:rPr>
                <w:rFonts w:ascii="Times New Roman" w:hAnsi="Times New Roman"/>
                <w:sz w:val="26"/>
              </w:rPr>
              <w:t>т</w:t>
            </w:r>
            <w:r>
              <w:rPr>
                <w:rFonts w:ascii="Times New Roman" w:hAnsi="Times New Roman"/>
                <w:sz w:val="26"/>
              </w:rPr>
              <w:t>анови.</w:t>
            </w:r>
          </w:p>
          <w:p w14:paraId="007BDB5F" w14:textId="07FFD74E" w:rsidR="00430922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>
              <w:rPr>
                <w:rFonts w:ascii="Times New Roman" w:hAnsi="Times New Roman"/>
                <w:sz w:val="26"/>
              </w:rPr>
              <w:t>у постанови забезпечить досягнення вищезгаданих цілей державного регулювання, що, у свою чергу, забезпечить</w:t>
            </w:r>
            <w:r w:rsidR="00AC5361">
              <w:rPr>
                <w:rFonts w:ascii="Times New Roman" w:hAnsi="Times New Roman"/>
                <w:sz w:val="26"/>
              </w:rPr>
              <w:t xml:space="preserve"> удосконалення</w:t>
            </w:r>
            <w:r>
              <w:rPr>
                <w:rFonts w:ascii="Times New Roman" w:hAnsi="Times New Roman"/>
                <w:sz w:val="26"/>
              </w:rPr>
              <w:t xml:space="preserve"> системи державного регулювання відносин у сфері </w:t>
            </w:r>
            <w:r w:rsidR="00AE0912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6056FC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DD4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>
              <w:rPr>
                <w:rFonts w:ascii="Times New Roman" w:hAnsi="Times New Roman"/>
                <w:sz w:val="26"/>
              </w:rPr>
              <w:t>, а також виконання зобов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>язань держави відносно своїх Захисників та Захисниць, та стане ще одним кроком на шляху до посилення обороноздатності України і на її шляху до ЄС.</w:t>
            </w:r>
          </w:p>
        </w:tc>
      </w:tr>
      <w:tr w:rsidR="00430922" w:rsidRPr="00735CCD" w14:paraId="772FBA1F" w14:textId="77777777" w:rsidTr="00485F1C">
        <w:tc>
          <w:tcPr>
            <w:tcW w:w="2689" w:type="dxa"/>
            <w:vAlign w:val="center"/>
          </w:tcPr>
          <w:p w14:paraId="31A9D521" w14:textId="3387A4D0" w:rsidR="00430922" w:rsidRPr="004F2D13" w:rsidRDefault="001816A0" w:rsidP="004F2D13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2D13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4F2D13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29DC67AA" w14:textId="5B622C14" w:rsidR="002123C3" w:rsidRDefault="002123C3" w:rsidP="004F2D13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lastRenderedPageBreak/>
              <w:t>Залишення наявної ситуації без змін.</w:t>
            </w:r>
          </w:p>
        </w:tc>
        <w:tc>
          <w:tcPr>
            <w:tcW w:w="7229" w:type="dxa"/>
            <w:vAlign w:val="center"/>
          </w:tcPr>
          <w:p w14:paraId="0781A52A" w14:textId="199E31B2" w:rsidR="00430922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Залишення наявної ситуації без змін.</w:t>
            </w:r>
          </w:p>
          <w:p w14:paraId="041BC9EB" w14:textId="11481CFB" w:rsidR="004F2D13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У випадку залишення ситуації, що склалася, без змін, поставлені цілі державного регулювання не будуть досягнуті і вищезазначена проблема у сфері </w:t>
            </w:r>
            <w:r w:rsidR="00AE0912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6056FC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DD4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>
              <w:rPr>
                <w:rFonts w:ascii="Times New Roman" w:hAnsi="Times New Roman"/>
                <w:sz w:val="26"/>
              </w:rPr>
              <w:t xml:space="preserve"> не буде вирішена.</w:t>
            </w:r>
          </w:p>
          <w:p w14:paraId="13A9E12A" w14:textId="741927E1" w:rsidR="00430922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 таких умов в Україні не буде</w:t>
            </w:r>
            <w:r w:rsidR="00AE0912">
              <w:rPr>
                <w:rFonts w:ascii="Times New Roman" w:hAnsi="Times New Roman"/>
                <w:sz w:val="26"/>
              </w:rPr>
              <w:t xml:space="preserve"> реалізована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AE0912">
              <w:rPr>
                <w:rFonts w:ascii="Times New Roman" w:hAnsi="Times New Roman"/>
                <w:sz w:val="26"/>
              </w:rPr>
              <w:t>трирівнева</w:t>
            </w:r>
            <w:r>
              <w:rPr>
                <w:rFonts w:ascii="Times New Roman" w:hAnsi="Times New Roman"/>
                <w:sz w:val="26"/>
              </w:rPr>
              <w:t xml:space="preserve"> систему </w:t>
            </w:r>
            <w:r w:rsidR="00AE0912" w:rsidRPr="00AE0912">
              <w:rPr>
                <w:rFonts w:ascii="Times New Roman" w:hAnsi="Times New Roman"/>
                <w:sz w:val="26"/>
                <w:szCs w:val="26"/>
              </w:rPr>
              <w:t>надання послуг з адаптації</w:t>
            </w:r>
            <w:r w:rsidR="006056FC">
              <w:rPr>
                <w:rFonts w:ascii="Times New Roman" w:hAnsi="Times New Roman"/>
                <w:sz w:val="26"/>
                <w:szCs w:val="26"/>
              </w:rPr>
              <w:t xml:space="preserve"> та відновлення</w:t>
            </w:r>
            <w:r w:rsidR="00AE09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що також може призвести до негативної реакції з боку ветеранської спільноти та призвести до соціальної напруги.</w:t>
            </w:r>
          </w:p>
        </w:tc>
      </w:tr>
    </w:tbl>
    <w:p w14:paraId="2242DAF3" w14:textId="77777777" w:rsidR="00430922" w:rsidRDefault="001816A0" w:rsidP="004F2D13">
      <w:pPr>
        <w:spacing w:before="24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2. Оцінка вибраних альтернативних способів досягнення цілей.</w:t>
      </w:r>
    </w:p>
    <w:p w14:paraId="79D659CA" w14:textId="77777777" w:rsidR="00430922" w:rsidRDefault="001816A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Оцінка впливу на сферу інтересів держави</w:t>
      </w:r>
    </w:p>
    <w:p w14:paraId="2F3F9F75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430922" w14:paraId="270A8C25" w14:textId="77777777" w:rsidTr="00485F1C">
        <w:tc>
          <w:tcPr>
            <w:tcW w:w="2263" w:type="dxa"/>
            <w:vAlign w:val="center"/>
          </w:tcPr>
          <w:p w14:paraId="36D515C2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 альтернативи</w:t>
            </w:r>
          </w:p>
        </w:tc>
        <w:tc>
          <w:tcPr>
            <w:tcW w:w="3969" w:type="dxa"/>
            <w:vAlign w:val="center"/>
          </w:tcPr>
          <w:p w14:paraId="27B08D8B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Вигоди</w:t>
            </w:r>
          </w:p>
        </w:tc>
        <w:tc>
          <w:tcPr>
            <w:tcW w:w="3686" w:type="dxa"/>
            <w:vAlign w:val="center"/>
          </w:tcPr>
          <w:p w14:paraId="3B32CDB6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Витрати</w:t>
            </w:r>
          </w:p>
        </w:tc>
      </w:tr>
      <w:tr w:rsidR="00430922" w:rsidRPr="00735CCD" w14:paraId="7EE32F13" w14:textId="77777777" w:rsidTr="00485F1C">
        <w:tc>
          <w:tcPr>
            <w:tcW w:w="2263" w:type="dxa"/>
            <w:vAlign w:val="center"/>
          </w:tcPr>
          <w:p w14:paraId="11A8816E" w14:textId="679CD703" w:rsidR="00430922" w:rsidRPr="004F2D13" w:rsidRDefault="001816A0" w:rsidP="004F2D13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2D13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F2D13" w:rsidRPr="004F2D13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5AAF36CA" w14:textId="247A218E" w:rsidR="0033304B" w:rsidRDefault="0033304B" w:rsidP="004F2D13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2123C3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969" w:type="dxa"/>
            <w:vAlign w:val="center"/>
          </w:tcPr>
          <w:p w14:paraId="60391ABB" w14:textId="2A2947F1" w:rsidR="00AE0912" w:rsidRPr="0030500E" w:rsidRDefault="00E4002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Створено комплексну систему та</w:t>
            </w:r>
            <w:r w:rsidR="00AE0912">
              <w:rPr>
                <w:rFonts w:ascii="Times New Roman" w:hAnsi="Times New Roman"/>
                <w:sz w:val="26"/>
              </w:rPr>
              <w:t xml:space="preserve"> </w:t>
            </w:r>
            <w:r w:rsidR="00AE0912" w:rsidRPr="00AB21B8">
              <w:rPr>
                <w:rFonts w:ascii="Times New Roman" w:hAnsi="Times New Roman"/>
                <w:sz w:val="26"/>
              </w:rPr>
              <w:t xml:space="preserve">механізм </w:t>
            </w:r>
            <w:r w:rsidR="00AE0912" w:rsidRPr="00751B99">
              <w:rPr>
                <w:rFonts w:ascii="Times New Roman" w:hAnsi="Times New Roman"/>
                <w:sz w:val="26"/>
              </w:rPr>
              <w:t>розрахунку та використання</w:t>
            </w:r>
            <w:r w:rsidR="00C5319D">
              <w:rPr>
                <w:rFonts w:ascii="Times New Roman" w:hAnsi="Times New Roman"/>
                <w:sz w:val="26"/>
              </w:rPr>
              <w:t xml:space="preserve"> </w:t>
            </w:r>
            <w:r w:rsidR="00AE0912" w:rsidRPr="00751B99">
              <w:rPr>
                <w:rFonts w:ascii="Times New Roman" w:hAnsi="Times New Roman"/>
                <w:sz w:val="26"/>
              </w:rPr>
              <w:t xml:space="preserve">коштів, спрямованих на відшкодування вартості наданих послуг із </w:t>
            </w:r>
            <w:r w:rsidR="001532AF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650D8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DD4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 w:rsidR="00AE0912">
              <w:rPr>
                <w:rFonts w:ascii="Times New Roman" w:hAnsi="Times New Roman"/>
                <w:sz w:val="26"/>
              </w:rPr>
              <w:t>,</w:t>
            </w:r>
            <w:r w:rsidR="00AE0912" w:rsidRPr="0030500E">
              <w:rPr>
                <w:rFonts w:ascii="Times New Roman" w:hAnsi="Times New Roman"/>
                <w:sz w:val="26"/>
              </w:rPr>
              <w:t xml:space="preserve"> що призведе до більш ефективного використання державних коштів.</w:t>
            </w:r>
          </w:p>
          <w:p w14:paraId="148FADC3" w14:textId="74FB1A9E" w:rsidR="00430922" w:rsidRDefault="00430922" w:rsidP="00C5319D">
            <w:pPr>
              <w:ind w:firstLine="325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686" w:type="dxa"/>
            <w:vAlign w:val="center"/>
          </w:tcPr>
          <w:p w14:paraId="2636FED9" w14:textId="77777777" w:rsidR="00485F1C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Орієнтовна сума витрат: </w:t>
            </w:r>
          </w:p>
          <w:p w14:paraId="1FC69F31" w14:textId="21D5E821" w:rsidR="00485F1C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2025 рік становитиме 13 009 485,40  грн.; </w:t>
            </w:r>
          </w:p>
          <w:p w14:paraId="01A82C9F" w14:textId="304D47C2" w:rsidR="00C5319D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2026 рік становитиме 33 302 100,71</w:t>
            </w:r>
            <w:r w:rsidR="00C5319D">
              <w:rPr>
                <w:rFonts w:ascii="Times New Roman" w:hAnsi="Times New Roman"/>
                <w:sz w:val="26"/>
              </w:rPr>
              <w:t xml:space="preserve"> грн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</w:p>
          <w:p w14:paraId="4354C79C" w14:textId="77777777" w:rsidR="00C5319D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Однак, </w:t>
            </w:r>
            <w:r w:rsidR="00C5319D">
              <w:rPr>
                <w:rFonts w:ascii="Times New Roman" w:hAnsi="Times New Roman"/>
                <w:sz w:val="26"/>
              </w:rPr>
              <w:t>відшкодування за надані послуги з адаптації на першому та другому рівнях буде здійснюватися</w:t>
            </w:r>
            <w:r w:rsidRPr="00751B99">
              <w:rPr>
                <w:rFonts w:ascii="Times New Roman" w:hAnsi="Times New Roman"/>
                <w:sz w:val="26"/>
              </w:rPr>
              <w:t xml:space="preserve"> в межах КПКВК 1501120 “Заходи підтримки та допомоги ветеранам війни, членам їх сімей та членам родин загиблих”</w:t>
            </w:r>
            <w:r>
              <w:rPr>
                <w:rFonts w:ascii="Times New Roman" w:hAnsi="Times New Roman"/>
                <w:sz w:val="26"/>
              </w:rPr>
              <w:t xml:space="preserve"> та не потребуватиме додаткових коштів з державного бюджету. </w:t>
            </w:r>
          </w:p>
          <w:p w14:paraId="59B8AB63" w14:textId="1B706EBB" w:rsidR="002C09F4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Фінансово</w:t>
            </w:r>
            <w:r w:rsidR="00B8163A">
              <w:rPr>
                <w:rFonts w:ascii="Times New Roman" w:hAnsi="Times New Roman"/>
                <w:sz w:val="26"/>
              </w:rPr>
              <w:t>—</w:t>
            </w:r>
            <w:r w:rsidRPr="00751B99">
              <w:rPr>
                <w:rFonts w:ascii="Times New Roman" w:hAnsi="Times New Roman"/>
                <w:sz w:val="26"/>
              </w:rPr>
              <w:t>економічні розрахунки додаються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6709D2A7" w14:textId="325A9FFE" w:rsidR="00430922" w:rsidRPr="00AC5361" w:rsidRDefault="00430922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30922" w:rsidRPr="00735CCD" w14:paraId="412E72BE" w14:textId="77777777" w:rsidTr="00485F1C">
        <w:tc>
          <w:tcPr>
            <w:tcW w:w="2263" w:type="dxa"/>
            <w:vAlign w:val="center"/>
          </w:tcPr>
          <w:p w14:paraId="2B8A693B" w14:textId="24F8608D" w:rsidR="00430922" w:rsidRDefault="001816A0" w:rsidP="004F2D1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Альтернатива 2</w:t>
            </w:r>
            <w:r w:rsidR="001532AF">
              <w:rPr>
                <w:rFonts w:ascii="Times New Roman" w:hAnsi="Times New Roman"/>
                <w:sz w:val="26"/>
              </w:rPr>
              <w:t>.</w:t>
            </w:r>
          </w:p>
          <w:p w14:paraId="70D848A7" w14:textId="346832B1" w:rsidR="002123C3" w:rsidRDefault="002123C3" w:rsidP="004F2D13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  <w:p w14:paraId="6C91E702" w14:textId="3A9970D5" w:rsidR="002123C3" w:rsidRDefault="002123C3" w:rsidP="004F2D1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3458225A" w14:textId="4C665361" w:rsidR="00430922" w:rsidRDefault="001816A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Не </w:t>
            </w:r>
            <w:r w:rsidR="001532AF">
              <w:rPr>
                <w:rFonts w:ascii="Times New Roman" w:hAnsi="Times New Roman"/>
                <w:sz w:val="26"/>
              </w:rPr>
              <w:t xml:space="preserve">фіксуються, </w:t>
            </w:r>
            <w:r w:rsidR="001532AF" w:rsidRPr="004B65ED">
              <w:rPr>
                <w:rFonts w:ascii="Times New Roman" w:hAnsi="Times New Roman"/>
                <w:sz w:val="26"/>
              </w:rPr>
              <w:t>проте можуть</w:t>
            </w:r>
            <w:r w:rsidR="001532AF">
              <w:rPr>
                <w:rFonts w:ascii="Times New Roman" w:hAnsi="Times New Roman"/>
                <w:sz w:val="26"/>
              </w:rPr>
              <w:t xml:space="preserve"> </w:t>
            </w:r>
            <w:r w:rsidR="001532AF" w:rsidRPr="004B65ED">
              <w:rPr>
                <w:rFonts w:ascii="Times New Roman" w:hAnsi="Times New Roman"/>
                <w:sz w:val="26"/>
              </w:rPr>
              <w:t>шкодити державним інтересам</w:t>
            </w:r>
            <w:r w:rsidR="001532AF">
              <w:rPr>
                <w:rFonts w:ascii="Times New Roman" w:hAnsi="Times New Roman"/>
                <w:sz w:val="26"/>
              </w:rPr>
              <w:t xml:space="preserve"> </w:t>
            </w:r>
            <w:r w:rsidR="001532AF" w:rsidRPr="004B65ED">
              <w:rPr>
                <w:rFonts w:ascii="Times New Roman" w:hAnsi="Times New Roman"/>
                <w:sz w:val="26"/>
              </w:rPr>
              <w:t xml:space="preserve">у </w:t>
            </w:r>
            <w:r w:rsidR="001532AF">
              <w:rPr>
                <w:rFonts w:ascii="Times New Roman" w:hAnsi="Times New Roman"/>
                <w:sz w:val="26"/>
              </w:rPr>
              <w:t>зв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="001532AF">
              <w:rPr>
                <w:rFonts w:ascii="Times New Roman" w:hAnsi="Times New Roman"/>
                <w:sz w:val="26"/>
              </w:rPr>
              <w:t>язку з не вирішенням</w:t>
            </w:r>
            <w:r w:rsidR="001532AF" w:rsidRPr="004B65ED">
              <w:rPr>
                <w:rFonts w:ascii="Times New Roman" w:hAnsi="Times New Roman"/>
                <w:sz w:val="26"/>
              </w:rPr>
              <w:t xml:space="preserve"> проблем, що призводять до низької</w:t>
            </w:r>
            <w:r w:rsidR="001532AF">
              <w:rPr>
                <w:rFonts w:ascii="Times New Roman" w:hAnsi="Times New Roman"/>
                <w:sz w:val="26"/>
              </w:rPr>
              <w:t xml:space="preserve"> </w:t>
            </w:r>
            <w:r w:rsidR="001532AF" w:rsidRPr="004B65ED">
              <w:rPr>
                <w:rFonts w:ascii="Times New Roman" w:hAnsi="Times New Roman"/>
                <w:sz w:val="26"/>
              </w:rPr>
              <w:t xml:space="preserve">ефективності </w:t>
            </w:r>
            <w:r w:rsidR="001532AF">
              <w:rPr>
                <w:rFonts w:ascii="Times New Roman" w:hAnsi="Times New Roman"/>
                <w:sz w:val="26"/>
              </w:rPr>
              <w:t xml:space="preserve">надання послуг із </w:t>
            </w:r>
            <w:r w:rsidR="001532AF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DD4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 та захищали незалежність, </w:t>
            </w:r>
            <w:r w:rsidR="00DD4B34" w:rsidRPr="00DD4B34">
              <w:rPr>
                <w:rFonts w:ascii="Times New Roman" w:hAnsi="Times New Roman"/>
                <w:sz w:val="26"/>
                <w:szCs w:val="26"/>
              </w:rPr>
              <w:lastRenderedPageBreak/>
              <w:t>суверенітет та територіальну цілісність України</w:t>
            </w:r>
          </w:p>
        </w:tc>
        <w:tc>
          <w:tcPr>
            <w:tcW w:w="3686" w:type="dxa"/>
            <w:vAlign w:val="center"/>
          </w:tcPr>
          <w:p w14:paraId="342A9C74" w14:textId="39BC1339" w:rsidR="00430922" w:rsidRDefault="001532AF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Відсутні.</w:t>
            </w:r>
          </w:p>
          <w:p w14:paraId="61C0EC19" w14:textId="77777777" w:rsidR="00430922" w:rsidRDefault="00430922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7D95F4E8" w14:textId="530FD1D3" w:rsidR="00430922" w:rsidRDefault="001816A0" w:rsidP="00C5319D">
      <w:pPr>
        <w:spacing w:before="24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Оцінка впливу на сферу інтересів громадян.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430922" w14:paraId="619A19FF" w14:textId="77777777" w:rsidTr="00485F1C">
        <w:tc>
          <w:tcPr>
            <w:tcW w:w="2263" w:type="dxa"/>
            <w:vAlign w:val="center"/>
          </w:tcPr>
          <w:p w14:paraId="7CE16C3A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 альтернативи</w:t>
            </w:r>
          </w:p>
        </w:tc>
        <w:tc>
          <w:tcPr>
            <w:tcW w:w="3969" w:type="dxa"/>
            <w:vAlign w:val="center"/>
          </w:tcPr>
          <w:p w14:paraId="6F01E853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Вигоди</w:t>
            </w:r>
          </w:p>
        </w:tc>
        <w:tc>
          <w:tcPr>
            <w:tcW w:w="3686" w:type="dxa"/>
            <w:vAlign w:val="center"/>
          </w:tcPr>
          <w:p w14:paraId="373AB0B6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Витрати</w:t>
            </w:r>
          </w:p>
        </w:tc>
      </w:tr>
      <w:tr w:rsidR="00430922" w:rsidRPr="00735CCD" w14:paraId="4B624659" w14:textId="77777777" w:rsidTr="00485F1C">
        <w:tc>
          <w:tcPr>
            <w:tcW w:w="2263" w:type="dxa"/>
            <w:vAlign w:val="center"/>
          </w:tcPr>
          <w:p w14:paraId="5EDABF56" w14:textId="73529F5C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C5319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6FE42A58" w14:textId="7254282B" w:rsidR="002123C3" w:rsidRDefault="002123C3" w:rsidP="00C5319D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2123C3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969" w:type="dxa"/>
            <w:vAlign w:val="center"/>
          </w:tcPr>
          <w:p w14:paraId="3E081653" w14:textId="7630665D" w:rsidR="00430922" w:rsidRDefault="00AC5361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Оптимізовано</w:t>
            </w:r>
            <w:r w:rsidRPr="00751B99">
              <w:rPr>
                <w:rFonts w:ascii="Times New Roman" w:hAnsi="Times New Roman"/>
                <w:sz w:val="26"/>
              </w:rPr>
              <w:t xml:space="preserve"> механізм надання і доступність послуг із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2A0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 w:rsidRPr="00751B99">
              <w:rPr>
                <w:rFonts w:ascii="Times New Roman" w:hAnsi="Times New Roman"/>
                <w:sz w:val="26"/>
              </w:rPr>
              <w:t>, що передбачає позитивний вплив на психологічний стан, здоров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751B99">
              <w:rPr>
                <w:rFonts w:ascii="Times New Roman" w:hAnsi="Times New Roman"/>
                <w:sz w:val="26"/>
              </w:rPr>
              <w:t>я, безпеку, права та гідність громадян.</w:t>
            </w:r>
          </w:p>
        </w:tc>
        <w:tc>
          <w:tcPr>
            <w:tcW w:w="3686" w:type="dxa"/>
            <w:vAlign w:val="center"/>
          </w:tcPr>
          <w:p w14:paraId="574D4BD0" w14:textId="26DC7A75" w:rsidR="00430922" w:rsidRDefault="00AC5361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Відсутні.</w:t>
            </w:r>
          </w:p>
        </w:tc>
      </w:tr>
      <w:tr w:rsidR="00430922" w:rsidRPr="00735CCD" w14:paraId="50F5B7ED" w14:textId="77777777" w:rsidTr="00485F1C">
        <w:tc>
          <w:tcPr>
            <w:tcW w:w="2263" w:type="dxa"/>
            <w:vAlign w:val="center"/>
          </w:tcPr>
          <w:p w14:paraId="3AD6DF94" w14:textId="43B889DA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C5319D" w:rsidRPr="00C5319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1431B1BB" w14:textId="604BF6AC" w:rsidR="002123C3" w:rsidRDefault="002123C3" w:rsidP="00C5319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</w:tc>
        <w:tc>
          <w:tcPr>
            <w:tcW w:w="3969" w:type="dxa"/>
            <w:vAlign w:val="center"/>
          </w:tcPr>
          <w:p w14:paraId="517C0DE7" w14:textId="4D1C942F" w:rsidR="00430922" w:rsidRDefault="001816A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передбачаються</w:t>
            </w:r>
            <w:r w:rsidR="00C5319D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686" w:type="dxa"/>
            <w:vAlign w:val="center"/>
          </w:tcPr>
          <w:p w14:paraId="49C97762" w14:textId="2D3F4DB1" w:rsidR="00430922" w:rsidRDefault="00AC5361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 w:rsidRPr="004B65ED">
              <w:rPr>
                <w:rFonts w:ascii="Times New Roman" w:hAnsi="Times New Roman"/>
                <w:sz w:val="26"/>
              </w:rPr>
              <w:t>Низьк</w:t>
            </w:r>
            <w:r>
              <w:rPr>
                <w:rFonts w:ascii="Times New Roman" w:hAnsi="Times New Roman"/>
                <w:sz w:val="26"/>
              </w:rPr>
              <w:t xml:space="preserve">а </w:t>
            </w:r>
            <w:r w:rsidRPr="004B65ED">
              <w:rPr>
                <w:rFonts w:ascii="Times New Roman" w:hAnsi="Times New Roman"/>
                <w:sz w:val="26"/>
              </w:rPr>
              <w:t>ефективн</w:t>
            </w:r>
            <w:r>
              <w:rPr>
                <w:rFonts w:ascii="Times New Roman" w:hAnsi="Times New Roman"/>
                <w:sz w:val="26"/>
              </w:rPr>
              <w:t>ість</w:t>
            </w:r>
            <w:r w:rsidRPr="004B65ED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надання послуг </w:t>
            </w:r>
            <w:r w:rsidRPr="00751B99">
              <w:rPr>
                <w:rFonts w:ascii="Times New Roman" w:hAnsi="Times New Roman"/>
                <w:sz w:val="26"/>
              </w:rPr>
              <w:t xml:space="preserve">із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>адаптації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 та відновлення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2A0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 w:rsidR="002A0B7D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може призвести до зниження рівня здоров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 xml:space="preserve">я </w:t>
            </w:r>
            <w:r w:rsidR="00173195">
              <w:rPr>
                <w:rFonts w:ascii="Times New Roman" w:hAnsi="Times New Roman"/>
                <w:sz w:val="26"/>
              </w:rPr>
              <w:t>зазначеної категорії людей.</w:t>
            </w:r>
          </w:p>
        </w:tc>
      </w:tr>
    </w:tbl>
    <w:p w14:paraId="7ACD0817" w14:textId="1D3BA8BC" w:rsidR="00430922" w:rsidRDefault="001816A0" w:rsidP="00C5319D">
      <w:pPr>
        <w:spacing w:before="24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Оцінка впливу на сферу інтересів суб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>єктів господарювання.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1"/>
        <w:gridCol w:w="1541"/>
        <w:gridCol w:w="1582"/>
        <w:gridCol w:w="1491"/>
        <w:gridCol w:w="1528"/>
        <w:gridCol w:w="1665"/>
      </w:tblGrid>
      <w:tr w:rsidR="00430922" w14:paraId="596CEFD1" w14:textId="77777777" w:rsidTr="00485F1C">
        <w:trPr>
          <w:trHeight w:val="611"/>
        </w:trPr>
        <w:tc>
          <w:tcPr>
            <w:tcW w:w="2111" w:type="dxa"/>
            <w:vAlign w:val="center"/>
          </w:tcPr>
          <w:p w14:paraId="26BC6713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Показник</w:t>
            </w:r>
          </w:p>
        </w:tc>
        <w:tc>
          <w:tcPr>
            <w:tcW w:w="1541" w:type="dxa"/>
            <w:vAlign w:val="center"/>
          </w:tcPr>
          <w:p w14:paraId="24CAFC2D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Великі</w:t>
            </w:r>
          </w:p>
        </w:tc>
        <w:tc>
          <w:tcPr>
            <w:tcW w:w="1582" w:type="dxa"/>
            <w:vAlign w:val="center"/>
          </w:tcPr>
          <w:p w14:paraId="1A390DA3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Середні</w:t>
            </w:r>
          </w:p>
        </w:tc>
        <w:tc>
          <w:tcPr>
            <w:tcW w:w="1491" w:type="dxa"/>
            <w:vAlign w:val="center"/>
          </w:tcPr>
          <w:p w14:paraId="19CCDE0A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Малі</w:t>
            </w:r>
          </w:p>
        </w:tc>
        <w:tc>
          <w:tcPr>
            <w:tcW w:w="1528" w:type="dxa"/>
            <w:vAlign w:val="center"/>
          </w:tcPr>
          <w:p w14:paraId="636EE578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Мікро</w:t>
            </w:r>
          </w:p>
        </w:tc>
        <w:tc>
          <w:tcPr>
            <w:tcW w:w="1665" w:type="dxa"/>
            <w:vAlign w:val="center"/>
          </w:tcPr>
          <w:p w14:paraId="30662382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Разом</w:t>
            </w:r>
          </w:p>
        </w:tc>
      </w:tr>
      <w:tr w:rsidR="00430922" w14:paraId="115211FF" w14:textId="77777777" w:rsidTr="00485F1C">
        <w:tc>
          <w:tcPr>
            <w:tcW w:w="2111" w:type="dxa"/>
            <w:vAlign w:val="center"/>
          </w:tcPr>
          <w:p w14:paraId="43390A9B" w14:textId="53BE28C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Кількість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>єктів господарювання, що підпадають під дію регулювання, одиниць</w:t>
            </w:r>
          </w:p>
        </w:tc>
        <w:tc>
          <w:tcPr>
            <w:tcW w:w="1541" w:type="dxa"/>
            <w:vAlign w:val="center"/>
          </w:tcPr>
          <w:p w14:paraId="7E58A270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582" w:type="dxa"/>
            <w:vAlign w:val="center"/>
          </w:tcPr>
          <w:p w14:paraId="295CA37E" w14:textId="403559FC" w:rsidR="00430922" w:rsidRDefault="00C0763B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1491" w:type="dxa"/>
            <w:vAlign w:val="center"/>
          </w:tcPr>
          <w:p w14:paraId="61F8D58A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528" w:type="dxa"/>
            <w:vAlign w:val="center"/>
          </w:tcPr>
          <w:p w14:paraId="2224F4E3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665" w:type="dxa"/>
            <w:vAlign w:val="center"/>
          </w:tcPr>
          <w:p w14:paraId="7ED37590" w14:textId="7D3F6A51" w:rsidR="00430922" w:rsidRDefault="00C0763B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</w:tr>
      <w:tr w:rsidR="00430922" w14:paraId="3BBB3E0D" w14:textId="77777777" w:rsidTr="00485F1C">
        <w:tc>
          <w:tcPr>
            <w:tcW w:w="2111" w:type="dxa"/>
            <w:vAlign w:val="center"/>
          </w:tcPr>
          <w:p w14:paraId="148920B5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Питома вага групи у загальній </w:t>
            </w:r>
            <w:r>
              <w:rPr>
                <w:rFonts w:ascii="Times New Roman" w:hAnsi="Times New Roman"/>
                <w:sz w:val="26"/>
              </w:rPr>
              <w:lastRenderedPageBreak/>
              <w:t>кількості, відсотків</w:t>
            </w:r>
          </w:p>
        </w:tc>
        <w:tc>
          <w:tcPr>
            <w:tcW w:w="1541" w:type="dxa"/>
            <w:vAlign w:val="center"/>
          </w:tcPr>
          <w:p w14:paraId="6BB874A7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0%</w:t>
            </w:r>
          </w:p>
        </w:tc>
        <w:tc>
          <w:tcPr>
            <w:tcW w:w="1582" w:type="dxa"/>
            <w:vAlign w:val="center"/>
          </w:tcPr>
          <w:p w14:paraId="1E600DA7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91" w:type="dxa"/>
            <w:vAlign w:val="center"/>
          </w:tcPr>
          <w:p w14:paraId="65F87132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528" w:type="dxa"/>
            <w:vAlign w:val="center"/>
          </w:tcPr>
          <w:p w14:paraId="071B677B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665" w:type="dxa"/>
            <w:vAlign w:val="center"/>
          </w:tcPr>
          <w:p w14:paraId="415D84C5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</w:tr>
    </w:tbl>
    <w:p w14:paraId="06B0EEB2" w14:textId="77777777" w:rsidR="00430922" w:rsidRDefault="00430922" w:rsidP="00C5319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430922" w14:paraId="63D0C161" w14:textId="77777777" w:rsidTr="00485F1C">
        <w:tc>
          <w:tcPr>
            <w:tcW w:w="2263" w:type="dxa"/>
            <w:vAlign w:val="center"/>
          </w:tcPr>
          <w:p w14:paraId="4CC1D2D8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 альтернативи</w:t>
            </w:r>
          </w:p>
        </w:tc>
        <w:tc>
          <w:tcPr>
            <w:tcW w:w="3969" w:type="dxa"/>
            <w:vAlign w:val="center"/>
          </w:tcPr>
          <w:p w14:paraId="42C27A71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Вигоди</w:t>
            </w:r>
          </w:p>
        </w:tc>
        <w:tc>
          <w:tcPr>
            <w:tcW w:w="3686" w:type="dxa"/>
            <w:vAlign w:val="center"/>
          </w:tcPr>
          <w:p w14:paraId="39E00FF3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Витрати</w:t>
            </w:r>
          </w:p>
        </w:tc>
      </w:tr>
      <w:tr w:rsidR="00430922" w:rsidRPr="00735CCD" w14:paraId="0A8B894E" w14:textId="77777777" w:rsidTr="00485F1C">
        <w:tc>
          <w:tcPr>
            <w:tcW w:w="2263" w:type="dxa"/>
            <w:vAlign w:val="center"/>
          </w:tcPr>
          <w:p w14:paraId="6D0C32B5" w14:textId="72770D42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C5319D" w:rsidRPr="00C5319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5A9799DA" w14:textId="0DCC9160" w:rsidR="002123C3" w:rsidRDefault="002123C3" w:rsidP="00C5319D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2123C3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969" w:type="dxa"/>
            <w:vAlign w:val="center"/>
          </w:tcPr>
          <w:p w14:paraId="6B2BFB74" w14:textId="026C76F3" w:rsidR="00430922" w:rsidRDefault="00E4002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Створено комплексну систему та </w:t>
            </w:r>
            <w:r w:rsidR="00393C2B">
              <w:rPr>
                <w:rFonts w:ascii="Times New Roman" w:hAnsi="Times New Roman"/>
                <w:sz w:val="26"/>
              </w:rPr>
              <w:t xml:space="preserve"> </w:t>
            </w:r>
            <w:r w:rsidR="00393C2B" w:rsidRPr="00AB21B8">
              <w:rPr>
                <w:rFonts w:ascii="Times New Roman" w:hAnsi="Times New Roman"/>
                <w:sz w:val="26"/>
              </w:rPr>
              <w:t xml:space="preserve">механізм </w:t>
            </w:r>
            <w:r w:rsidR="00393C2B" w:rsidRPr="00751B99">
              <w:rPr>
                <w:rFonts w:ascii="Times New Roman" w:hAnsi="Times New Roman"/>
                <w:sz w:val="26"/>
              </w:rPr>
              <w:t xml:space="preserve">розрахунку та використання коштів, спрямованих на відшкодування вартості наданих послуг із </w:t>
            </w:r>
            <w:r w:rsidR="00393C2B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2A0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 w:rsidR="00393C2B">
              <w:rPr>
                <w:rFonts w:ascii="Times New Roman" w:hAnsi="Times New Roman"/>
                <w:sz w:val="26"/>
              </w:rPr>
              <w:t>,</w:t>
            </w:r>
            <w:r w:rsidR="00393C2B" w:rsidRPr="0030500E">
              <w:rPr>
                <w:rFonts w:ascii="Times New Roman" w:hAnsi="Times New Roman"/>
                <w:sz w:val="26"/>
              </w:rPr>
              <w:t xml:space="preserve"> що призведе до більш ефективного використання державних коштів.</w:t>
            </w:r>
          </w:p>
        </w:tc>
        <w:tc>
          <w:tcPr>
            <w:tcW w:w="3686" w:type="dxa"/>
          </w:tcPr>
          <w:p w14:paraId="12776C89" w14:textId="0EDC3E9C" w:rsidR="00430922" w:rsidRPr="00393C2B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Відсутні.</w:t>
            </w:r>
          </w:p>
        </w:tc>
      </w:tr>
      <w:tr w:rsidR="00430922" w14:paraId="05F5C210" w14:textId="77777777" w:rsidTr="00485F1C">
        <w:tc>
          <w:tcPr>
            <w:tcW w:w="2263" w:type="dxa"/>
            <w:vAlign w:val="center"/>
          </w:tcPr>
          <w:p w14:paraId="1B619155" w14:textId="4F65BE6C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C5319D" w:rsidRPr="00C5319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261F3E65" w14:textId="0911235A" w:rsidR="002123C3" w:rsidRDefault="002123C3" w:rsidP="00C5319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</w:tc>
        <w:tc>
          <w:tcPr>
            <w:tcW w:w="3969" w:type="dxa"/>
            <w:vAlign w:val="center"/>
          </w:tcPr>
          <w:p w14:paraId="7834D0D0" w14:textId="5C449DC7" w:rsidR="00C5319D" w:rsidRDefault="001816A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передбачаються</w:t>
            </w:r>
            <w:r w:rsidR="00CE1D55">
              <w:rPr>
                <w:rFonts w:ascii="Times New Roman" w:hAnsi="Times New Roman"/>
                <w:sz w:val="26"/>
              </w:rPr>
              <w:t>.</w:t>
            </w:r>
          </w:p>
          <w:p w14:paraId="17A95FFE" w14:textId="49D27595" w:rsidR="00430922" w:rsidRDefault="00CE1D55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Проте </w:t>
            </w:r>
            <w:r w:rsidRPr="004B65ED">
              <w:rPr>
                <w:rFonts w:ascii="Times New Roman" w:hAnsi="Times New Roman"/>
                <w:sz w:val="26"/>
              </w:rPr>
              <w:t>можуть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4B65ED">
              <w:rPr>
                <w:rFonts w:ascii="Times New Roman" w:hAnsi="Times New Roman"/>
                <w:sz w:val="26"/>
              </w:rPr>
              <w:t>шкодити інтересам</w:t>
            </w:r>
            <w:r w:rsidR="00C5319D">
              <w:rPr>
                <w:rFonts w:ascii="Times New Roman" w:hAnsi="Times New Roman"/>
                <w:sz w:val="26"/>
              </w:rPr>
              <w:t xml:space="preserve"> </w:t>
            </w:r>
            <w:r w:rsidR="00050BB3">
              <w:rPr>
                <w:rFonts w:ascii="Times New Roman" w:hAnsi="Times New Roman"/>
                <w:sz w:val="26"/>
              </w:rPr>
              <w:t>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="00050BB3">
              <w:rPr>
                <w:rFonts w:ascii="Times New Roman" w:hAnsi="Times New Roman"/>
                <w:sz w:val="26"/>
              </w:rPr>
              <w:t xml:space="preserve">єктів господарювання </w:t>
            </w:r>
            <w:r w:rsidRPr="004B65ED">
              <w:rPr>
                <w:rFonts w:ascii="Times New Roman" w:hAnsi="Times New Roman"/>
                <w:sz w:val="26"/>
              </w:rPr>
              <w:t xml:space="preserve">у </w:t>
            </w:r>
            <w:r>
              <w:rPr>
                <w:rFonts w:ascii="Times New Roman" w:hAnsi="Times New Roman"/>
                <w:sz w:val="26"/>
              </w:rPr>
              <w:t>зв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>язку з не вирішенням</w:t>
            </w:r>
            <w:r w:rsidRPr="004B65ED">
              <w:rPr>
                <w:rFonts w:ascii="Times New Roman" w:hAnsi="Times New Roman"/>
                <w:sz w:val="26"/>
              </w:rPr>
              <w:t xml:space="preserve"> проблем, що призводять до низької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4B65ED">
              <w:rPr>
                <w:rFonts w:ascii="Times New Roman" w:hAnsi="Times New Roman"/>
                <w:sz w:val="26"/>
              </w:rPr>
              <w:t xml:space="preserve">ефективності </w:t>
            </w:r>
            <w:r>
              <w:rPr>
                <w:rFonts w:ascii="Times New Roman" w:hAnsi="Times New Roman"/>
                <w:sz w:val="26"/>
              </w:rPr>
              <w:t xml:space="preserve">надання послуг із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2A0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 w:rsidR="00485F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7D448B2" w14:textId="77777777" w:rsidR="00430922" w:rsidRDefault="001816A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Відсутні. </w:t>
            </w:r>
          </w:p>
        </w:tc>
      </w:tr>
    </w:tbl>
    <w:p w14:paraId="40229AC8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30922" w14:paraId="7AE57502" w14:textId="77777777" w:rsidTr="00485F1C">
        <w:tc>
          <w:tcPr>
            <w:tcW w:w="2547" w:type="dxa"/>
            <w:vAlign w:val="center"/>
          </w:tcPr>
          <w:p w14:paraId="0A98C2A0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Сумарні витрати за</w:t>
            </w:r>
          </w:p>
          <w:p w14:paraId="216F310B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альтернативами</w:t>
            </w:r>
          </w:p>
        </w:tc>
        <w:tc>
          <w:tcPr>
            <w:tcW w:w="7371" w:type="dxa"/>
            <w:vAlign w:val="center"/>
          </w:tcPr>
          <w:p w14:paraId="41B94053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Сума витрат, гривень</w:t>
            </w:r>
          </w:p>
        </w:tc>
      </w:tr>
      <w:tr w:rsidR="00485F1C" w:rsidRPr="00735CCD" w14:paraId="7BA06D86" w14:textId="77777777" w:rsidTr="00485F1C">
        <w:tc>
          <w:tcPr>
            <w:tcW w:w="2547" w:type="dxa"/>
            <w:vAlign w:val="center"/>
          </w:tcPr>
          <w:p w14:paraId="39DA1FA4" w14:textId="21B1DBE2" w:rsidR="00485F1C" w:rsidRPr="00485F1C" w:rsidRDefault="00485F1C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1.</w:t>
            </w:r>
          </w:p>
          <w:p w14:paraId="4FC6CB28" w14:textId="031CD9AD" w:rsidR="00485F1C" w:rsidRDefault="00485F1C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2123C3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7371" w:type="dxa"/>
            <w:vAlign w:val="center"/>
          </w:tcPr>
          <w:p w14:paraId="2F763E17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Орієнтовна сума витрат: </w:t>
            </w:r>
          </w:p>
          <w:p w14:paraId="6638D590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2025 рік становитиме 13 009 485,40  грн.; </w:t>
            </w:r>
          </w:p>
          <w:p w14:paraId="2D65F405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2026 рік становитиме 33 302 100,71 грн. </w:t>
            </w:r>
          </w:p>
          <w:p w14:paraId="3B4F1D36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Однак, відшкодування за надані послуги з адаптації на першому та другому рівнях буде здійснюватися</w:t>
            </w:r>
            <w:r w:rsidRPr="00751B99">
              <w:rPr>
                <w:rFonts w:ascii="Times New Roman" w:hAnsi="Times New Roman"/>
                <w:sz w:val="26"/>
              </w:rPr>
              <w:t xml:space="preserve"> в межах КПКВК 1501120 “Заходи підтримки та допомоги ветеранам війни, членам їх сімей та членам родин загиблих”</w:t>
            </w:r>
            <w:r>
              <w:rPr>
                <w:rFonts w:ascii="Times New Roman" w:hAnsi="Times New Roman"/>
                <w:sz w:val="26"/>
              </w:rPr>
              <w:t xml:space="preserve"> та не потребуватиме додаткових коштів з державного бюджету. </w:t>
            </w:r>
          </w:p>
          <w:p w14:paraId="195F6488" w14:textId="2ACFE320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Фінансово</w:t>
            </w:r>
            <w:r>
              <w:rPr>
                <w:rFonts w:ascii="Times New Roman" w:hAnsi="Times New Roman"/>
                <w:sz w:val="26"/>
              </w:rPr>
              <w:t>—</w:t>
            </w:r>
            <w:r w:rsidRPr="00751B99">
              <w:rPr>
                <w:rFonts w:ascii="Times New Roman" w:hAnsi="Times New Roman"/>
                <w:sz w:val="26"/>
              </w:rPr>
              <w:t>економічні розрахунки додаються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485F1C" w:rsidRPr="00735CCD" w14:paraId="69014495" w14:textId="77777777" w:rsidTr="00485F1C">
        <w:tc>
          <w:tcPr>
            <w:tcW w:w="2547" w:type="dxa"/>
            <w:vAlign w:val="center"/>
          </w:tcPr>
          <w:p w14:paraId="72333930" w14:textId="3F4D31A9" w:rsidR="00485F1C" w:rsidRPr="00485F1C" w:rsidRDefault="00485F1C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2.</w:t>
            </w:r>
          </w:p>
          <w:p w14:paraId="5496AFC1" w14:textId="3225CB71" w:rsidR="00485F1C" w:rsidRDefault="00485F1C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lastRenderedPageBreak/>
              <w:t>Залишення наявної ситуації без змін.</w:t>
            </w:r>
          </w:p>
        </w:tc>
        <w:tc>
          <w:tcPr>
            <w:tcW w:w="7371" w:type="dxa"/>
            <w:vAlign w:val="center"/>
          </w:tcPr>
          <w:p w14:paraId="33E1658B" w14:textId="44ADCA6B" w:rsidR="00485F1C" w:rsidRDefault="00485F1C" w:rsidP="00485F1C">
            <w:pPr>
              <w:ind w:firstLine="32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Не передбачається.</w:t>
            </w:r>
          </w:p>
        </w:tc>
      </w:tr>
    </w:tbl>
    <w:p w14:paraId="78256FE4" w14:textId="04490816" w:rsidR="00430922" w:rsidRDefault="001816A0" w:rsidP="00485F1C">
      <w:pPr>
        <w:spacing w:before="240" w:line="240" w:lineRule="auto"/>
        <w:ind w:firstLine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IV. Вибір найбільш оптимального альтернативного способу досягнення цілей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3681"/>
        <w:gridCol w:w="2552"/>
        <w:gridCol w:w="3685"/>
      </w:tblGrid>
      <w:tr w:rsidR="00430922" w:rsidRPr="00735CCD" w14:paraId="042937B3" w14:textId="77777777" w:rsidTr="00485F1C">
        <w:tc>
          <w:tcPr>
            <w:tcW w:w="3681" w:type="dxa"/>
            <w:vAlign w:val="center"/>
          </w:tcPr>
          <w:p w14:paraId="4F42672D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  <w:vAlign w:val="center"/>
          </w:tcPr>
          <w:p w14:paraId="417D122C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Бал результативності </w:t>
            </w:r>
            <w:r w:rsidRPr="00485F1C">
              <w:rPr>
                <w:rFonts w:ascii="Times New Roman" w:hAnsi="Times New Roman"/>
                <w:b/>
                <w:szCs w:val="16"/>
              </w:rPr>
              <w:t>(за чотирибальною системою оцінки)</w:t>
            </w:r>
          </w:p>
        </w:tc>
        <w:tc>
          <w:tcPr>
            <w:tcW w:w="3685" w:type="dxa"/>
            <w:vAlign w:val="center"/>
          </w:tcPr>
          <w:p w14:paraId="762F003E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Коментарі щодо присвоєння відповідного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бала</w:t>
            </w:r>
            <w:proofErr w:type="spellEnd"/>
          </w:p>
        </w:tc>
      </w:tr>
      <w:tr w:rsidR="00430922" w14:paraId="400D3055" w14:textId="77777777" w:rsidTr="00485F1C">
        <w:tc>
          <w:tcPr>
            <w:tcW w:w="3681" w:type="dxa"/>
            <w:vAlign w:val="center"/>
          </w:tcPr>
          <w:p w14:paraId="3C4A742B" w14:textId="72223D4B" w:rsidR="00430922" w:rsidRPr="00485F1C" w:rsidRDefault="001816A0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85F1C" w:rsidRPr="00485F1C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4B8936F2" w14:textId="57E80C65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751B99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751B99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751B99">
              <w:rPr>
                <w:rFonts w:ascii="Times New Roman" w:hAnsi="Times New Roman"/>
                <w:sz w:val="26"/>
              </w:rPr>
              <w:t>.</w:t>
            </w:r>
          </w:p>
          <w:p w14:paraId="0F575A8F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14:paraId="2539D79F" w14:textId="77777777" w:rsidR="00430922" w:rsidRDefault="001816A0" w:rsidP="00485F1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685" w:type="dxa"/>
            <w:vAlign w:val="center"/>
          </w:tcPr>
          <w:p w14:paraId="3711C707" w14:textId="50A818E1" w:rsidR="00430922" w:rsidRDefault="00BD58DA" w:rsidP="00485F1C">
            <w:pPr>
              <w:ind w:firstLine="177"/>
              <w:jc w:val="both"/>
              <w:rPr>
                <w:rFonts w:ascii="Times New Roman" w:hAnsi="Times New Roman"/>
                <w:sz w:val="26"/>
              </w:rPr>
            </w:pPr>
            <w:r w:rsidRPr="007B187C">
              <w:rPr>
                <w:rFonts w:ascii="Times New Roman" w:hAnsi="Times New Roman"/>
                <w:sz w:val="26"/>
              </w:rPr>
              <w:t xml:space="preserve">Найефективніше забезпечить інтереси </w:t>
            </w:r>
            <w:r w:rsidRPr="00E40020">
              <w:rPr>
                <w:rFonts w:ascii="Times New Roman" w:hAnsi="Times New Roman"/>
                <w:sz w:val="26"/>
                <w:szCs w:val="26"/>
              </w:rPr>
              <w:t>держави, громадян та суб</w:t>
            </w:r>
            <w:r w:rsidR="004F2D13">
              <w:rPr>
                <w:rFonts w:ascii="Times New Roman" w:hAnsi="Times New Roman"/>
                <w:sz w:val="26"/>
                <w:szCs w:val="26"/>
              </w:rPr>
              <w:t>’</w:t>
            </w:r>
            <w:r w:rsidRPr="00E40020">
              <w:rPr>
                <w:rFonts w:ascii="Times New Roman" w:hAnsi="Times New Roman"/>
                <w:sz w:val="26"/>
                <w:szCs w:val="26"/>
              </w:rPr>
              <w:t xml:space="preserve">єктів господарювання шляхом </w:t>
            </w:r>
            <w:r w:rsidR="00E40020" w:rsidRPr="00E40020">
              <w:rPr>
                <w:rStyle w:val="4"/>
                <w:rFonts w:ascii="Times New Roman" w:hAnsi="Times New Roman"/>
                <w:sz w:val="26"/>
                <w:szCs w:val="26"/>
              </w:rPr>
              <w:t>створення комплексної системи</w:t>
            </w:r>
            <w:r w:rsidRPr="00E40020">
              <w:rPr>
                <w:rStyle w:val="4"/>
                <w:rFonts w:ascii="Times New Roman" w:hAnsi="Times New Roman"/>
                <w:sz w:val="26"/>
                <w:szCs w:val="26"/>
              </w:rPr>
              <w:t xml:space="preserve"> </w:t>
            </w:r>
            <w:r w:rsidR="00E40020" w:rsidRPr="00E40020">
              <w:rPr>
                <w:rStyle w:val="4"/>
                <w:rFonts w:ascii="Times New Roman" w:hAnsi="Times New Roman"/>
                <w:sz w:val="26"/>
                <w:szCs w:val="26"/>
              </w:rPr>
              <w:t xml:space="preserve">та </w:t>
            </w:r>
            <w:r w:rsidRPr="00E40020">
              <w:rPr>
                <w:rStyle w:val="4"/>
                <w:rFonts w:ascii="Times New Roman" w:hAnsi="Times New Roman"/>
                <w:sz w:val="26"/>
                <w:szCs w:val="26"/>
              </w:rPr>
              <w:t xml:space="preserve">механізму </w:t>
            </w:r>
            <w:r w:rsidRPr="00E40020">
              <w:rPr>
                <w:rFonts w:ascii="Times New Roman" w:hAnsi="Times New Roman"/>
                <w:sz w:val="26"/>
                <w:szCs w:val="26"/>
              </w:rPr>
              <w:t xml:space="preserve">надання та відшкодування за надані послуги із адаптації </w:t>
            </w:r>
            <w:r w:rsidR="008E0E66" w:rsidRPr="00E40020">
              <w:rPr>
                <w:rFonts w:ascii="Times New Roman" w:hAnsi="Times New Roman"/>
                <w:sz w:val="26"/>
                <w:szCs w:val="26"/>
              </w:rPr>
              <w:t>та відновлення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2A0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430922" w:rsidRPr="00735CCD" w14:paraId="56DAFC0B" w14:textId="77777777" w:rsidTr="00485F1C">
        <w:tc>
          <w:tcPr>
            <w:tcW w:w="3681" w:type="dxa"/>
            <w:vAlign w:val="center"/>
          </w:tcPr>
          <w:p w14:paraId="55041015" w14:textId="4CFD9D37" w:rsidR="00430922" w:rsidRPr="00485F1C" w:rsidRDefault="001816A0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485F1C" w:rsidRPr="00485F1C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584D7C26" w14:textId="2FA09F10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  <w:p w14:paraId="17E9E25A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14:paraId="029D5FAE" w14:textId="77777777" w:rsidR="00430922" w:rsidRDefault="001816A0" w:rsidP="00485F1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685" w:type="dxa"/>
            <w:vAlign w:val="center"/>
          </w:tcPr>
          <w:p w14:paraId="6A6C468A" w14:textId="77777777" w:rsidR="00430922" w:rsidRDefault="001816A0" w:rsidP="00485F1C">
            <w:pPr>
              <w:ind w:firstLine="17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Цілі прийняття регуляторного акта, які не можуть бути досягнуті (проблема продовжує існувати).</w:t>
            </w:r>
          </w:p>
        </w:tc>
      </w:tr>
    </w:tbl>
    <w:p w14:paraId="2A040FA8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3402"/>
        <w:gridCol w:w="1559"/>
      </w:tblGrid>
      <w:tr w:rsidR="00430922" w:rsidRPr="00735CCD" w14:paraId="099F665B" w14:textId="77777777" w:rsidTr="004C096D">
        <w:tc>
          <w:tcPr>
            <w:tcW w:w="1271" w:type="dxa"/>
            <w:vAlign w:val="center"/>
          </w:tcPr>
          <w:p w14:paraId="78D97BD1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Рейтинг результативності</w:t>
            </w:r>
          </w:p>
        </w:tc>
        <w:tc>
          <w:tcPr>
            <w:tcW w:w="3686" w:type="dxa"/>
            <w:vAlign w:val="center"/>
          </w:tcPr>
          <w:p w14:paraId="4A6FEE52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Вигоди (підсумок)</w:t>
            </w:r>
          </w:p>
        </w:tc>
        <w:tc>
          <w:tcPr>
            <w:tcW w:w="3402" w:type="dxa"/>
            <w:vAlign w:val="center"/>
          </w:tcPr>
          <w:p w14:paraId="4316A11F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Витрати (підсумок)</w:t>
            </w:r>
          </w:p>
        </w:tc>
        <w:tc>
          <w:tcPr>
            <w:tcW w:w="1559" w:type="dxa"/>
            <w:vAlign w:val="center"/>
          </w:tcPr>
          <w:p w14:paraId="562FFA3A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Обґрунтування відповідного місця альтернативи у рейтингу</w:t>
            </w:r>
          </w:p>
        </w:tc>
      </w:tr>
      <w:tr w:rsidR="00430922" w:rsidRPr="00735CCD" w14:paraId="6630A82A" w14:textId="77777777" w:rsidTr="004C096D">
        <w:tc>
          <w:tcPr>
            <w:tcW w:w="1271" w:type="dxa"/>
            <w:vAlign w:val="center"/>
          </w:tcPr>
          <w:p w14:paraId="43265805" w14:textId="693BF47E" w:rsidR="00430922" w:rsidRPr="00485F1C" w:rsidRDefault="001816A0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85F1C" w:rsidRPr="00485F1C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3095398E" w14:textId="68D74B80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751B99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751B99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751B99">
              <w:rPr>
                <w:rFonts w:ascii="Times New Roman" w:hAnsi="Times New Roman"/>
                <w:sz w:val="26"/>
              </w:rPr>
              <w:t>.</w:t>
            </w:r>
          </w:p>
          <w:p w14:paraId="3490C2FD" w14:textId="77777777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310BA30A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Align w:val="center"/>
          </w:tcPr>
          <w:p w14:paraId="48B57374" w14:textId="77777777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751B99">
              <w:rPr>
                <w:rFonts w:ascii="Times New Roman" w:hAnsi="Times New Roman"/>
                <w:b/>
                <w:bCs/>
                <w:sz w:val="26"/>
              </w:rPr>
              <w:t>Для держави:</w:t>
            </w:r>
          </w:p>
          <w:p w14:paraId="741B0C3A" w14:textId="24F59DB4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B01B48">
              <w:rPr>
                <w:rFonts w:ascii="Times New Roman" w:hAnsi="Times New Roman"/>
                <w:sz w:val="26"/>
              </w:rPr>
              <w:t>більш ефективн</w:t>
            </w:r>
            <w:r>
              <w:rPr>
                <w:rFonts w:ascii="Times New Roman" w:hAnsi="Times New Roman"/>
                <w:sz w:val="26"/>
              </w:rPr>
              <w:t>е</w:t>
            </w:r>
            <w:r w:rsidRPr="00B01B48">
              <w:rPr>
                <w:rFonts w:ascii="Times New Roman" w:hAnsi="Times New Roman"/>
                <w:sz w:val="26"/>
              </w:rPr>
              <w:t xml:space="preserve"> використання державних коштів</w:t>
            </w:r>
            <w:r w:rsidRPr="00751B99">
              <w:rPr>
                <w:rFonts w:ascii="Times New Roman" w:hAnsi="Times New Roman"/>
                <w:sz w:val="26"/>
              </w:rPr>
              <w:t>;</w:t>
            </w:r>
          </w:p>
          <w:p w14:paraId="4CB111EB" w14:textId="39AE2B4B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B01B48">
              <w:rPr>
                <w:rFonts w:ascii="Times New Roman" w:hAnsi="Times New Roman"/>
                <w:sz w:val="26"/>
              </w:rPr>
              <w:t>зменш</w:t>
            </w:r>
            <w:r>
              <w:rPr>
                <w:rFonts w:ascii="Times New Roman" w:hAnsi="Times New Roman"/>
                <w:sz w:val="26"/>
              </w:rPr>
              <w:t>ення</w:t>
            </w:r>
            <w:r w:rsidRPr="00B01B48">
              <w:rPr>
                <w:rFonts w:ascii="Times New Roman" w:hAnsi="Times New Roman"/>
                <w:sz w:val="26"/>
              </w:rPr>
              <w:t xml:space="preserve"> витрат держави у зв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B01B48">
              <w:rPr>
                <w:rFonts w:ascii="Times New Roman" w:hAnsi="Times New Roman"/>
                <w:sz w:val="26"/>
              </w:rPr>
              <w:t xml:space="preserve">язку зі </w:t>
            </w:r>
            <w:r>
              <w:rPr>
                <w:rFonts w:ascii="Times New Roman" w:hAnsi="Times New Roman"/>
                <w:sz w:val="26"/>
              </w:rPr>
              <w:t xml:space="preserve">чітким та зрозумілим механізмом надання та відшкодування за надані </w:t>
            </w:r>
            <w:r w:rsidRPr="00751B99">
              <w:rPr>
                <w:rFonts w:ascii="Times New Roman" w:hAnsi="Times New Roman"/>
                <w:sz w:val="26"/>
              </w:rPr>
              <w:t>послуг</w:t>
            </w:r>
            <w:r>
              <w:rPr>
                <w:rFonts w:ascii="Times New Roman" w:hAnsi="Times New Roman"/>
                <w:sz w:val="26"/>
              </w:rPr>
              <w:t>и</w:t>
            </w:r>
            <w:r w:rsidRPr="00751B99">
              <w:rPr>
                <w:rFonts w:ascii="Times New Roman" w:hAnsi="Times New Roman"/>
                <w:sz w:val="26"/>
              </w:rPr>
              <w:t xml:space="preserve"> із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</w:t>
            </w:r>
            <w:r w:rsidR="008E0E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відновлення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2A0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 w:rsidR="00485F1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094029" w14:textId="77777777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</w:p>
          <w:p w14:paraId="3DEF2BED" w14:textId="68446790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751B99">
              <w:rPr>
                <w:rFonts w:ascii="Times New Roman" w:hAnsi="Times New Roman"/>
                <w:b/>
                <w:bCs/>
                <w:sz w:val="26"/>
              </w:rPr>
              <w:t>Для громадян:</w:t>
            </w:r>
          </w:p>
          <w:p w14:paraId="1B75046F" w14:textId="719A4C27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751B99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751B99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751B99">
              <w:rPr>
                <w:rFonts w:ascii="Times New Roman" w:hAnsi="Times New Roman"/>
                <w:sz w:val="26"/>
              </w:rPr>
              <w:t xml:space="preserve"> сприятиме якісному наданню послуг </w:t>
            </w:r>
            <w:r w:rsidR="00D3426F">
              <w:rPr>
                <w:rFonts w:ascii="Times New Roman" w:hAnsi="Times New Roman"/>
                <w:sz w:val="26"/>
              </w:rPr>
              <w:t xml:space="preserve">із </w:t>
            </w:r>
            <w:r w:rsidR="00D3426F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2A0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 w:rsidRPr="00751B99">
              <w:rPr>
                <w:rFonts w:ascii="Times New Roman" w:hAnsi="Times New Roman"/>
                <w:sz w:val="26"/>
              </w:rPr>
              <w:t>.</w:t>
            </w:r>
          </w:p>
          <w:p w14:paraId="7337C7ED" w14:textId="77777777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</w:p>
          <w:p w14:paraId="3DFDB261" w14:textId="2345F540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751B99">
              <w:rPr>
                <w:rFonts w:ascii="Times New Roman" w:hAnsi="Times New Roman"/>
                <w:b/>
                <w:bCs/>
                <w:sz w:val="26"/>
              </w:rPr>
              <w:t>Для суб</w:t>
            </w:r>
            <w:r w:rsidR="004F2D13">
              <w:rPr>
                <w:rFonts w:ascii="Times New Roman" w:hAnsi="Times New Roman"/>
                <w:b/>
                <w:bCs/>
                <w:sz w:val="26"/>
              </w:rPr>
              <w:t>’</w:t>
            </w:r>
            <w:r w:rsidRPr="00751B99">
              <w:rPr>
                <w:rFonts w:ascii="Times New Roman" w:hAnsi="Times New Roman"/>
                <w:b/>
                <w:bCs/>
                <w:sz w:val="26"/>
              </w:rPr>
              <w:t>єктів господарювання:</w:t>
            </w:r>
          </w:p>
          <w:p w14:paraId="48B100A4" w14:textId="40536590" w:rsidR="006A577C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</w:t>
            </w:r>
            <w:r w:rsidRPr="00B01B48">
              <w:rPr>
                <w:rFonts w:ascii="Times New Roman" w:hAnsi="Times New Roman"/>
                <w:sz w:val="26"/>
              </w:rPr>
              <w:t>досконалено вимоги до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B01B48">
              <w:rPr>
                <w:rFonts w:ascii="Times New Roman" w:hAnsi="Times New Roman"/>
                <w:sz w:val="26"/>
              </w:rPr>
              <w:t>єктів господарювання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49725F68" w14:textId="5A6C0BAB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B01B48">
              <w:rPr>
                <w:rFonts w:ascii="Times New Roman" w:hAnsi="Times New Roman"/>
                <w:sz w:val="26"/>
              </w:rPr>
              <w:t>підвищ</w:t>
            </w:r>
            <w:r>
              <w:rPr>
                <w:rFonts w:ascii="Times New Roman" w:hAnsi="Times New Roman"/>
                <w:sz w:val="26"/>
              </w:rPr>
              <w:t>ення</w:t>
            </w:r>
            <w:r w:rsidRPr="00B01B48">
              <w:rPr>
                <w:rFonts w:ascii="Times New Roman" w:hAnsi="Times New Roman"/>
                <w:sz w:val="26"/>
              </w:rPr>
              <w:t xml:space="preserve"> економічн</w:t>
            </w:r>
            <w:r>
              <w:rPr>
                <w:rFonts w:ascii="Times New Roman" w:hAnsi="Times New Roman"/>
                <w:sz w:val="26"/>
              </w:rPr>
              <w:t>ої</w:t>
            </w:r>
            <w:r w:rsidRPr="00B01B48">
              <w:rPr>
                <w:rFonts w:ascii="Times New Roman" w:hAnsi="Times New Roman"/>
                <w:sz w:val="26"/>
              </w:rPr>
              <w:t xml:space="preserve"> зацікавлен</w:t>
            </w:r>
            <w:r>
              <w:rPr>
                <w:rFonts w:ascii="Times New Roman" w:hAnsi="Times New Roman"/>
                <w:sz w:val="26"/>
              </w:rPr>
              <w:t>ості</w:t>
            </w:r>
            <w:r w:rsidRPr="00B01B48">
              <w:rPr>
                <w:rFonts w:ascii="Times New Roman" w:hAnsi="Times New Roman"/>
                <w:sz w:val="26"/>
              </w:rPr>
              <w:t xml:space="preserve">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B01B48">
              <w:rPr>
                <w:rFonts w:ascii="Times New Roman" w:hAnsi="Times New Roman"/>
                <w:sz w:val="26"/>
              </w:rPr>
              <w:t>єктів господарювання</w:t>
            </w:r>
            <w:r w:rsidRPr="00751B99">
              <w:rPr>
                <w:rFonts w:ascii="Times New Roman" w:hAnsi="Times New Roman"/>
                <w:sz w:val="26"/>
              </w:rPr>
              <w:t>;</w:t>
            </w:r>
          </w:p>
          <w:p w14:paraId="43C2EBBA" w14:textId="3A43DAB8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B01B48">
              <w:rPr>
                <w:rFonts w:ascii="Times New Roman" w:hAnsi="Times New Roman"/>
                <w:sz w:val="26"/>
              </w:rPr>
              <w:t>зменшення</w:t>
            </w:r>
            <w:r w:rsidR="00485F1C">
              <w:rPr>
                <w:rFonts w:ascii="Times New Roman" w:hAnsi="Times New Roman"/>
                <w:sz w:val="26"/>
              </w:rPr>
              <w:t xml:space="preserve"> </w:t>
            </w:r>
            <w:r w:rsidRPr="00B01B48">
              <w:rPr>
                <w:rFonts w:ascii="Times New Roman" w:hAnsi="Times New Roman"/>
                <w:sz w:val="26"/>
              </w:rPr>
              <w:t>адміністративного навантаження на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B01B48">
              <w:rPr>
                <w:rFonts w:ascii="Times New Roman" w:hAnsi="Times New Roman"/>
                <w:sz w:val="26"/>
              </w:rPr>
              <w:t>єктів господарювання</w:t>
            </w:r>
            <w:r w:rsidRPr="00751B99">
              <w:rPr>
                <w:rFonts w:ascii="Times New Roman" w:hAnsi="Times New Roman"/>
                <w:sz w:val="26"/>
              </w:rPr>
              <w:t>.</w:t>
            </w:r>
          </w:p>
          <w:p w14:paraId="1101B255" w14:textId="77777777" w:rsidR="00430922" w:rsidRDefault="00430922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402" w:type="dxa"/>
            <w:vAlign w:val="center"/>
          </w:tcPr>
          <w:p w14:paraId="2ABB9AB2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Орієнтовна сума витрат: </w:t>
            </w:r>
          </w:p>
          <w:p w14:paraId="7A2A74FA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2025 рік становитиме 13 009 485,40  грн.; </w:t>
            </w:r>
          </w:p>
          <w:p w14:paraId="49D6A49D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2026 рік становитиме 33 302 100,71 грн. </w:t>
            </w:r>
          </w:p>
          <w:p w14:paraId="4A75F65F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Однак, відшкодування за надані послуги з адаптації на першому та другому рівнях буде здійснюватися</w:t>
            </w:r>
            <w:r w:rsidRPr="00751B99">
              <w:rPr>
                <w:rFonts w:ascii="Times New Roman" w:hAnsi="Times New Roman"/>
                <w:sz w:val="26"/>
              </w:rPr>
              <w:t xml:space="preserve"> в межах </w:t>
            </w:r>
            <w:r w:rsidRPr="00751B99">
              <w:rPr>
                <w:rFonts w:ascii="Times New Roman" w:hAnsi="Times New Roman"/>
                <w:sz w:val="26"/>
              </w:rPr>
              <w:lastRenderedPageBreak/>
              <w:t>КПКВК 1501120 “Заходи підтримки та допомоги ветеранам війни, членам їх сімей та членам родин загиблих”</w:t>
            </w:r>
            <w:r>
              <w:rPr>
                <w:rFonts w:ascii="Times New Roman" w:hAnsi="Times New Roman"/>
                <w:sz w:val="26"/>
              </w:rPr>
              <w:t xml:space="preserve"> та не потребуватиме додаткових коштів з державного бюджету. </w:t>
            </w:r>
          </w:p>
          <w:p w14:paraId="363F3EC4" w14:textId="2A798476" w:rsidR="00430922" w:rsidRDefault="00485F1C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Фінансово</w:t>
            </w:r>
            <w:r>
              <w:rPr>
                <w:rFonts w:ascii="Times New Roman" w:hAnsi="Times New Roman"/>
                <w:sz w:val="26"/>
              </w:rPr>
              <w:t>—</w:t>
            </w:r>
            <w:r w:rsidRPr="00751B99">
              <w:rPr>
                <w:rFonts w:ascii="Times New Roman" w:hAnsi="Times New Roman"/>
                <w:sz w:val="26"/>
              </w:rPr>
              <w:t>економічні розрахунки додаються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3357A38B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429EA21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707DDA4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23CE9467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71FF342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2FC3FB87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0C9527A3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511E5787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410C28B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62040292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EE37E18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08693D82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8694F16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0B0BD4F0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5FF4BBC6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AD48ACC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6FD0AD5E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3397EB75" w14:textId="35D3B40E" w:rsidR="00430922" w:rsidRDefault="00321614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lastRenderedPageBreak/>
              <w:t xml:space="preserve">Дає змогу досягти поставлених цілей державного регулювання без додаткових витрат з </w:t>
            </w:r>
            <w:r w:rsidRPr="00751B99">
              <w:rPr>
                <w:rFonts w:ascii="Times New Roman" w:hAnsi="Times New Roman"/>
                <w:sz w:val="26"/>
              </w:rPr>
              <w:lastRenderedPageBreak/>
              <w:t>боку держави.</w:t>
            </w:r>
          </w:p>
        </w:tc>
      </w:tr>
      <w:tr w:rsidR="00430922" w:rsidRPr="00735CCD" w14:paraId="0DA812FC" w14:textId="77777777" w:rsidTr="004C096D">
        <w:tc>
          <w:tcPr>
            <w:tcW w:w="1271" w:type="dxa"/>
            <w:vAlign w:val="center"/>
          </w:tcPr>
          <w:p w14:paraId="73B04A17" w14:textId="42033B42" w:rsidR="00430922" w:rsidRPr="004C096D" w:rsidRDefault="001816A0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C096D">
              <w:rPr>
                <w:rFonts w:ascii="Times New Roman" w:hAnsi="Times New Roman"/>
                <w:b/>
                <w:bCs/>
                <w:sz w:val="26"/>
              </w:rPr>
              <w:lastRenderedPageBreak/>
              <w:t>Альтернатива 2</w:t>
            </w:r>
            <w:r w:rsidR="004C096D" w:rsidRPr="004C096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7AD4DBC8" w14:textId="77777777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  <w:p w14:paraId="0DE3E500" w14:textId="77777777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D1757B4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Align w:val="center"/>
          </w:tcPr>
          <w:p w14:paraId="138C7E44" w14:textId="4DDE6E58" w:rsidR="00430922" w:rsidRDefault="001816A0" w:rsidP="00485F1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Вигоди для держави, громадян та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>єктів господарювання не передбачаються.</w:t>
            </w:r>
          </w:p>
        </w:tc>
        <w:tc>
          <w:tcPr>
            <w:tcW w:w="3402" w:type="dxa"/>
            <w:vAlign w:val="center"/>
          </w:tcPr>
          <w:p w14:paraId="705A2CCC" w14:textId="11051DD5" w:rsidR="00430922" w:rsidRDefault="00321614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9531E8">
              <w:rPr>
                <w:rFonts w:ascii="Times New Roman" w:hAnsi="Times New Roman"/>
                <w:sz w:val="26"/>
              </w:rPr>
              <w:t>Не виникають,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оскільки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законодавство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України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залишається без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змін</w:t>
            </w:r>
            <w:r w:rsidR="004C096D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4E758625" w14:textId="0C563977" w:rsidR="00430922" w:rsidRDefault="00321614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Дана альтернатива не забезпечує розв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751B99">
              <w:rPr>
                <w:rFonts w:ascii="Times New Roman" w:hAnsi="Times New Roman"/>
                <w:sz w:val="26"/>
              </w:rPr>
              <w:t>язання проблеми та досягнення встановлених цілей</w:t>
            </w:r>
            <w:r w:rsidR="004C096D">
              <w:rPr>
                <w:rFonts w:ascii="Times New Roman" w:hAnsi="Times New Roman"/>
                <w:sz w:val="26"/>
              </w:rPr>
              <w:t>.</w:t>
            </w:r>
          </w:p>
        </w:tc>
      </w:tr>
    </w:tbl>
    <w:p w14:paraId="36A630D8" w14:textId="77777777" w:rsidR="00430922" w:rsidRDefault="00430922" w:rsidP="004C096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263"/>
        <w:gridCol w:w="4395"/>
        <w:gridCol w:w="3260"/>
      </w:tblGrid>
      <w:tr w:rsidR="00430922" w:rsidRPr="00735CCD" w14:paraId="08FC69AA" w14:textId="77777777" w:rsidTr="004C096D">
        <w:tc>
          <w:tcPr>
            <w:tcW w:w="2263" w:type="dxa"/>
            <w:vAlign w:val="center"/>
          </w:tcPr>
          <w:p w14:paraId="20AC9B33" w14:textId="77777777" w:rsidR="00430922" w:rsidRDefault="001816A0" w:rsidP="004C096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Рейтинг</w:t>
            </w:r>
          </w:p>
        </w:tc>
        <w:tc>
          <w:tcPr>
            <w:tcW w:w="4395" w:type="dxa"/>
            <w:vAlign w:val="center"/>
          </w:tcPr>
          <w:p w14:paraId="18CAA701" w14:textId="77777777" w:rsidR="00430922" w:rsidRDefault="001816A0" w:rsidP="004C096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60" w:type="dxa"/>
            <w:vAlign w:val="center"/>
          </w:tcPr>
          <w:p w14:paraId="3175A309" w14:textId="77777777" w:rsidR="00430922" w:rsidRDefault="001816A0" w:rsidP="004C096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Оцінка ризику зовнішніх чинників на дію </w:t>
            </w:r>
            <w:r>
              <w:rPr>
                <w:rFonts w:ascii="Times New Roman" w:hAnsi="Times New Roman"/>
                <w:b/>
                <w:sz w:val="26"/>
              </w:rPr>
              <w:lastRenderedPageBreak/>
              <w:t>запропонованого регуляторного акта</w:t>
            </w:r>
          </w:p>
        </w:tc>
      </w:tr>
      <w:tr w:rsidR="00430922" w:rsidRPr="00735CCD" w14:paraId="15992F7E" w14:textId="77777777" w:rsidTr="004C096D">
        <w:tc>
          <w:tcPr>
            <w:tcW w:w="2263" w:type="dxa"/>
            <w:vAlign w:val="center"/>
          </w:tcPr>
          <w:p w14:paraId="7E7DFB90" w14:textId="5B31C44C" w:rsidR="00430922" w:rsidRPr="004C096D" w:rsidRDefault="001816A0" w:rsidP="004C096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C096D">
              <w:rPr>
                <w:rFonts w:ascii="Times New Roman" w:hAnsi="Times New Roman"/>
                <w:b/>
                <w:bCs/>
                <w:sz w:val="26"/>
              </w:rPr>
              <w:lastRenderedPageBreak/>
              <w:t>Альтернатива 1</w:t>
            </w:r>
            <w:r w:rsidR="004C096D" w:rsidRPr="004C096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566E469E" w14:textId="092EE156" w:rsidR="007F343C" w:rsidRPr="007F343C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F343C">
              <w:rPr>
                <w:rFonts w:ascii="Times New Roman" w:hAnsi="Times New Roman"/>
                <w:sz w:val="26"/>
              </w:rPr>
              <w:t xml:space="preserve">Прийняття </w:t>
            </w:r>
            <w:r w:rsidR="00135490">
              <w:rPr>
                <w:rFonts w:ascii="Times New Roman" w:hAnsi="Times New Roman"/>
                <w:sz w:val="26"/>
              </w:rPr>
              <w:t>проект</w:t>
            </w:r>
            <w:r w:rsidRPr="007F343C">
              <w:rPr>
                <w:rFonts w:ascii="Times New Roman" w:hAnsi="Times New Roman"/>
                <w:sz w:val="26"/>
              </w:rPr>
              <w:t xml:space="preserve">у </w:t>
            </w:r>
            <w:proofErr w:type="spellStart"/>
            <w:r w:rsidRPr="007F343C">
              <w:rPr>
                <w:rFonts w:ascii="Times New Roman" w:hAnsi="Times New Roman"/>
                <w:sz w:val="26"/>
              </w:rPr>
              <w:t>акта</w:t>
            </w:r>
            <w:proofErr w:type="spellEnd"/>
            <w:r w:rsidRPr="007F343C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395" w:type="dxa"/>
            <w:vAlign w:val="center"/>
          </w:tcPr>
          <w:p w14:paraId="5F980D83" w14:textId="088DD733" w:rsidR="00430922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Така альтернатива є найбільш оптимальною, оскільки забезпечуватиме досягнення цілей, визначених у розділі 1 Аналізу.</w:t>
            </w:r>
          </w:p>
        </w:tc>
        <w:tc>
          <w:tcPr>
            <w:tcW w:w="3260" w:type="dxa"/>
            <w:vAlign w:val="center"/>
          </w:tcPr>
          <w:p w14:paraId="4ED32758" w14:textId="2FB7E921" w:rsidR="00430922" w:rsidRDefault="007F343C" w:rsidP="004C096D">
            <w:pPr>
              <w:ind w:firstLine="324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 xml:space="preserve">Продовження воєнного стану негативно впливає на досягнення цілей державного регулювання у сфері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окремих категорій</w:t>
            </w:r>
            <w:r w:rsidR="002A0B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0B7D" w:rsidRPr="00DD4B34">
              <w:rPr>
                <w:rFonts w:ascii="Times New Roman" w:hAnsi="Times New Roman"/>
                <w:sz w:val="26"/>
                <w:szCs w:val="26"/>
              </w:rPr>
              <w:t>осіб, які повністю або частково втратили зір та захищали незалежність, суверенітет та територіальну цілісність України</w:t>
            </w:r>
            <w:r w:rsidRPr="00751B99">
              <w:rPr>
                <w:rFonts w:ascii="Times New Roman" w:hAnsi="Times New Roman"/>
                <w:sz w:val="26"/>
              </w:rPr>
              <w:t>.</w:t>
            </w:r>
          </w:p>
        </w:tc>
      </w:tr>
      <w:tr w:rsidR="00430922" w14:paraId="796BF97E" w14:textId="77777777" w:rsidTr="004C096D">
        <w:tc>
          <w:tcPr>
            <w:tcW w:w="2263" w:type="dxa"/>
            <w:vAlign w:val="center"/>
          </w:tcPr>
          <w:p w14:paraId="3A800DA5" w14:textId="1F448FA6" w:rsidR="00430922" w:rsidRPr="004C096D" w:rsidRDefault="001816A0" w:rsidP="004C096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C096D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4C096D" w:rsidRPr="004C096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30BFA40E" w14:textId="5D9846EF" w:rsidR="007F343C" w:rsidRPr="007F343C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</w:tc>
        <w:tc>
          <w:tcPr>
            <w:tcW w:w="4395" w:type="dxa"/>
            <w:vAlign w:val="center"/>
          </w:tcPr>
          <w:p w14:paraId="6E178263" w14:textId="77777777" w:rsidR="007F343C" w:rsidRPr="00751B99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Переваги відсутні.</w:t>
            </w:r>
          </w:p>
          <w:p w14:paraId="16F1FD83" w14:textId="77777777" w:rsidR="007F343C" w:rsidRPr="00751B99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Така альтернатива не сприятиме досягненню цілей державного регулювання.</w:t>
            </w:r>
          </w:p>
          <w:p w14:paraId="4305782A" w14:textId="5C9753A5" w:rsidR="00430922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Залишаються проблеми зазначені у розділі 1 Аналізу</w:t>
            </w:r>
          </w:p>
        </w:tc>
        <w:tc>
          <w:tcPr>
            <w:tcW w:w="3260" w:type="dxa"/>
            <w:vAlign w:val="center"/>
          </w:tcPr>
          <w:p w14:paraId="43DFBD3F" w14:textId="543EFB18" w:rsidR="00430922" w:rsidRDefault="007F343C" w:rsidP="004C096D">
            <w:pPr>
              <w:ind w:firstLine="324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Продовження воєнного стану.</w:t>
            </w:r>
          </w:p>
        </w:tc>
      </w:tr>
    </w:tbl>
    <w:p w14:paraId="23F74DB8" w14:textId="2DCDFBA2" w:rsidR="00430922" w:rsidRPr="004C096D" w:rsidRDefault="001816A0" w:rsidP="004C096D">
      <w:pPr>
        <w:spacing w:before="240" w:line="240" w:lineRule="auto"/>
        <w:ind w:firstLine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ru-RU"/>
        </w:rPr>
        <w:t xml:space="preserve">V. </w:t>
      </w:r>
      <w:r>
        <w:rPr>
          <w:rFonts w:ascii="Times New Roman" w:hAnsi="Times New Roman"/>
          <w:b/>
          <w:sz w:val="26"/>
        </w:rPr>
        <w:t>Механізми та заходи, які забезпечать розв</w:t>
      </w:r>
      <w:r w:rsidR="004F2D13">
        <w:rPr>
          <w:rFonts w:ascii="Times New Roman" w:hAnsi="Times New Roman"/>
          <w:b/>
          <w:sz w:val="26"/>
        </w:rPr>
        <w:t>’</w:t>
      </w:r>
      <w:r>
        <w:rPr>
          <w:rFonts w:ascii="Times New Roman" w:hAnsi="Times New Roman"/>
          <w:b/>
          <w:sz w:val="26"/>
        </w:rPr>
        <w:t>язання визначеної проблеми</w:t>
      </w:r>
    </w:p>
    <w:p w14:paraId="261E777A" w14:textId="72331989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Основним механізмом для розв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язання визначених проблем є прийняття </w:t>
      </w:r>
      <w:r w:rsidR="00135490">
        <w:rPr>
          <w:rFonts w:ascii="Times New Roman" w:hAnsi="Times New Roman"/>
          <w:sz w:val="26"/>
        </w:rPr>
        <w:t>проект</w:t>
      </w:r>
      <w:r w:rsidRPr="00751B99">
        <w:rPr>
          <w:rFonts w:ascii="Times New Roman" w:hAnsi="Times New Roman"/>
          <w:sz w:val="26"/>
        </w:rPr>
        <w:t xml:space="preserve">у </w:t>
      </w:r>
      <w:proofErr w:type="spellStart"/>
      <w:r w:rsidRPr="00751B99">
        <w:rPr>
          <w:rFonts w:ascii="Times New Roman" w:hAnsi="Times New Roman"/>
          <w:sz w:val="26"/>
        </w:rPr>
        <w:t>акта</w:t>
      </w:r>
      <w:proofErr w:type="spellEnd"/>
      <w:r w:rsidRPr="00751B99">
        <w:rPr>
          <w:rFonts w:ascii="Times New Roman" w:hAnsi="Times New Roman"/>
          <w:sz w:val="26"/>
        </w:rPr>
        <w:t xml:space="preserve"> та фактична реалізація його положень, що дозволить </w:t>
      </w:r>
      <w:r w:rsidR="008E0E66">
        <w:rPr>
          <w:rFonts w:ascii="Times New Roman" w:hAnsi="Times New Roman"/>
          <w:sz w:val="26"/>
        </w:rPr>
        <w:t>створити</w:t>
      </w:r>
      <w:r w:rsidR="00E40020">
        <w:rPr>
          <w:rFonts w:ascii="Times New Roman" w:hAnsi="Times New Roman"/>
          <w:sz w:val="26"/>
        </w:rPr>
        <w:t xml:space="preserve"> </w:t>
      </w:r>
      <w:r w:rsidR="008E0E66">
        <w:rPr>
          <w:rFonts w:ascii="Times New Roman" w:hAnsi="Times New Roman"/>
          <w:sz w:val="26"/>
        </w:rPr>
        <w:t>ком</w:t>
      </w:r>
      <w:r w:rsidR="00E40020">
        <w:rPr>
          <w:rFonts w:ascii="Times New Roman" w:hAnsi="Times New Roman"/>
          <w:sz w:val="26"/>
        </w:rPr>
        <w:t>п</w:t>
      </w:r>
      <w:r w:rsidR="008E0E66">
        <w:rPr>
          <w:rFonts w:ascii="Times New Roman" w:hAnsi="Times New Roman"/>
          <w:sz w:val="26"/>
        </w:rPr>
        <w:t>лекс</w:t>
      </w:r>
      <w:r w:rsidR="00E40020">
        <w:rPr>
          <w:rFonts w:ascii="Times New Roman" w:hAnsi="Times New Roman"/>
          <w:sz w:val="26"/>
        </w:rPr>
        <w:t>н</w:t>
      </w:r>
      <w:r w:rsidR="008E0E66">
        <w:rPr>
          <w:rFonts w:ascii="Times New Roman" w:hAnsi="Times New Roman"/>
          <w:sz w:val="26"/>
        </w:rPr>
        <w:t>у систему та</w:t>
      </w:r>
      <w:r w:rsidRPr="00751B99">
        <w:rPr>
          <w:rFonts w:ascii="Times New Roman" w:hAnsi="Times New Roman"/>
          <w:sz w:val="26"/>
        </w:rPr>
        <w:t xml:space="preserve"> механізм надання та відшкодування </w:t>
      </w:r>
      <w:r>
        <w:rPr>
          <w:rFonts w:ascii="Times New Roman" w:hAnsi="Times New Roman"/>
          <w:sz w:val="26"/>
        </w:rPr>
        <w:t xml:space="preserve">за надані </w:t>
      </w:r>
      <w:r w:rsidRPr="00751B99">
        <w:rPr>
          <w:rFonts w:ascii="Times New Roman" w:hAnsi="Times New Roman"/>
          <w:sz w:val="26"/>
        </w:rPr>
        <w:t>послуг</w:t>
      </w:r>
      <w:r>
        <w:rPr>
          <w:rFonts w:ascii="Times New Roman" w:hAnsi="Times New Roman"/>
          <w:sz w:val="26"/>
        </w:rPr>
        <w:t>и</w:t>
      </w:r>
      <w:r w:rsidRPr="00751B99">
        <w:rPr>
          <w:rFonts w:ascii="Times New Roman" w:hAnsi="Times New Roman"/>
          <w:sz w:val="26"/>
        </w:rPr>
        <w:t xml:space="preserve"> із </w:t>
      </w:r>
      <w:r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E40020">
        <w:rPr>
          <w:rFonts w:ascii="Times New Roman" w:hAnsi="Times New Roman"/>
          <w:sz w:val="26"/>
          <w:szCs w:val="26"/>
        </w:rPr>
        <w:t xml:space="preserve">та відновлення </w:t>
      </w:r>
      <w:r w:rsidR="002A0B7D" w:rsidRPr="00DD4B34">
        <w:rPr>
          <w:rFonts w:ascii="Times New Roman" w:hAnsi="Times New Roman"/>
          <w:sz w:val="26"/>
          <w:szCs w:val="26"/>
        </w:rPr>
        <w:t>окремих категорій</w:t>
      </w:r>
      <w:r w:rsidR="002A0B7D">
        <w:rPr>
          <w:rFonts w:ascii="Times New Roman" w:hAnsi="Times New Roman"/>
          <w:sz w:val="26"/>
          <w:szCs w:val="26"/>
        </w:rPr>
        <w:t xml:space="preserve"> </w:t>
      </w:r>
      <w:r w:rsidR="002A0B7D" w:rsidRPr="00DD4B34">
        <w:rPr>
          <w:rFonts w:ascii="Times New Roman" w:hAnsi="Times New Roman"/>
          <w:sz w:val="26"/>
          <w:szCs w:val="26"/>
        </w:rPr>
        <w:t>осіб, які повністю або частково втратили зір та захищали незалежність, суверенітет та територіальну цілісність України</w:t>
      </w:r>
      <w:r w:rsidRPr="00751B99">
        <w:rPr>
          <w:rFonts w:ascii="Times New Roman" w:hAnsi="Times New Roman"/>
          <w:sz w:val="26"/>
        </w:rPr>
        <w:t>.</w:t>
      </w:r>
    </w:p>
    <w:p w14:paraId="79DA4E18" w14:textId="0AFC43C3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При цьому, розв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>язання проблем, визначених в розділі І Аналізу, забезпечать такі заходи:</w:t>
      </w:r>
    </w:p>
    <w:p w14:paraId="46F2F990" w14:textId="7777777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1. Організаційні заходи для впровадження регулювання:</w:t>
      </w:r>
    </w:p>
    <w:p w14:paraId="725CD31D" w14:textId="066DCBB0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Для впровадження цього регуляторного акта необхідно забезпечити інформування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єктів надання та отримувачів послуг із </w:t>
      </w:r>
      <w:r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E40020">
        <w:rPr>
          <w:rFonts w:ascii="Times New Roman" w:hAnsi="Times New Roman"/>
          <w:sz w:val="26"/>
          <w:szCs w:val="26"/>
        </w:rPr>
        <w:t xml:space="preserve">та відновлення </w:t>
      </w:r>
      <w:r w:rsidR="002A0B7D" w:rsidRPr="00DD4B34">
        <w:rPr>
          <w:rFonts w:ascii="Times New Roman" w:hAnsi="Times New Roman"/>
          <w:sz w:val="26"/>
          <w:szCs w:val="26"/>
        </w:rPr>
        <w:t>окремих категорій</w:t>
      </w:r>
      <w:r w:rsidR="002A0B7D">
        <w:rPr>
          <w:rFonts w:ascii="Times New Roman" w:hAnsi="Times New Roman"/>
          <w:sz w:val="26"/>
          <w:szCs w:val="26"/>
        </w:rPr>
        <w:t xml:space="preserve"> </w:t>
      </w:r>
      <w:r w:rsidR="002A0B7D" w:rsidRPr="00DD4B34">
        <w:rPr>
          <w:rFonts w:ascii="Times New Roman" w:hAnsi="Times New Roman"/>
          <w:sz w:val="26"/>
          <w:szCs w:val="26"/>
        </w:rPr>
        <w:t>осіб, які повністю або частково втратили зір та захищали незалежність, суверенітет та територіальну цілісність України</w:t>
      </w:r>
      <w:r w:rsidRPr="00751B99">
        <w:rPr>
          <w:rFonts w:ascii="Times New Roman" w:hAnsi="Times New Roman"/>
          <w:sz w:val="26"/>
        </w:rPr>
        <w:t xml:space="preserve">, про вимоги регуляторного акта шляхом його оприлюднення у засобах масової інформації та розміщенні на офіційному </w:t>
      </w:r>
      <w:proofErr w:type="spellStart"/>
      <w:r w:rsidRPr="00751B99">
        <w:rPr>
          <w:rFonts w:ascii="Times New Roman" w:hAnsi="Times New Roman"/>
          <w:sz w:val="26"/>
        </w:rPr>
        <w:t>вебсайті</w:t>
      </w:r>
      <w:proofErr w:type="spellEnd"/>
      <w:r w:rsidRPr="00751B99">
        <w:rPr>
          <w:rFonts w:ascii="Times New Roman" w:hAnsi="Times New Roman"/>
          <w:sz w:val="26"/>
        </w:rPr>
        <w:t xml:space="preserve"> Міністерства у справах ветеранів України.</w:t>
      </w:r>
    </w:p>
    <w:p w14:paraId="6E1BFC83" w14:textId="213FAD54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2. Заходи, які необхідно здійснити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>єктам господарської діяльності у сфері надання послуг психологічної допомоги:</w:t>
      </w:r>
    </w:p>
    <w:p w14:paraId="42B32CE5" w14:textId="7777777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1) ознайомитися з вимогами регулювання (пошук та опрацювання регуляторного акту в мережі Інтернет);</w:t>
      </w:r>
    </w:p>
    <w:p w14:paraId="6ECE180B" w14:textId="7777777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2) організувати виконання вимог регулювання.</w:t>
      </w:r>
    </w:p>
    <w:p w14:paraId="38D964E4" w14:textId="77777777" w:rsidR="00430922" w:rsidRDefault="001816A0" w:rsidP="004C096D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15DD74F3" w14:textId="18B5EA7F" w:rsidR="009D1562" w:rsidRPr="00751B99" w:rsidRDefault="00135490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</w:t>
      </w:r>
      <w:r w:rsidR="009D1562" w:rsidRPr="00751B99">
        <w:rPr>
          <w:rFonts w:ascii="Times New Roman" w:hAnsi="Times New Roman"/>
          <w:sz w:val="26"/>
        </w:rPr>
        <w:t xml:space="preserve"> постанови стосується інтересів держави та суб</w:t>
      </w:r>
      <w:r w:rsidR="004F2D13">
        <w:rPr>
          <w:rFonts w:ascii="Times New Roman" w:hAnsi="Times New Roman"/>
          <w:sz w:val="26"/>
        </w:rPr>
        <w:t>’</w:t>
      </w:r>
      <w:r w:rsidR="009D1562" w:rsidRPr="00751B99">
        <w:rPr>
          <w:rFonts w:ascii="Times New Roman" w:hAnsi="Times New Roman"/>
          <w:sz w:val="26"/>
        </w:rPr>
        <w:t>єктів господарювання. Негативних наслідків у зв</w:t>
      </w:r>
      <w:r w:rsidR="004F2D13">
        <w:rPr>
          <w:rFonts w:ascii="Times New Roman" w:hAnsi="Times New Roman"/>
          <w:sz w:val="26"/>
        </w:rPr>
        <w:t>’</w:t>
      </w:r>
      <w:r w:rsidR="009D1562" w:rsidRPr="00751B99">
        <w:rPr>
          <w:rFonts w:ascii="Times New Roman" w:hAnsi="Times New Roman"/>
          <w:sz w:val="26"/>
        </w:rPr>
        <w:t xml:space="preserve">язку з прийняттям </w:t>
      </w:r>
      <w:r>
        <w:rPr>
          <w:rFonts w:ascii="Times New Roman" w:hAnsi="Times New Roman"/>
          <w:sz w:val="26"/>
        </w:rPr>
        <w:t>проект</w:t>
      </w:r>
      <w:r w:rsidR="009D1562" w:rsidRPr="00751B99">
        <w:rPr>
          <w:rFonts w:ascii="Times New Roman" w:hAnsi="Times New Roman"/>
          <w:sz w:val="26"/>
        </w:rPr>
        <w:t xml:space="preserve">у постанови не очікується. </w:t>
      </w:r>
    </w:p>
    <w:p w14:paraId="6BDC4679" w14:textId="7777777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 xml:space="preserve">Для впровадження та виконання вимог регуляторного акта органам виконавчої влади не передбачається додаткового фінансування за рахунок коштів Державного бюджету України. </w:t>
      </w:r>
    </w:p>
    <w:p w14:paraId="7C8872A2" w14:textId="267C5A71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Фінансування витрат здійснюється в межах КПКВК 1501120 “Заходи підтримки та допомоги ветеранам війни, членам їх сімей та членам родин загиблих” на 2025</w:t>
      </w:r>
      <w:r w:rsidR="00B8163A">
        <w:rPr>
          <w:rFonts w:ascii="Times New Roman" w:hAnsi="Times New Roman"/>
          <w:sz w:val="26"/>
        </w:rPr>
        <w:t>—</w:t>
      </w:r>
      <w:r w:rsidR="007F0939">
        <w:rPr>
          <w:rFonts w:ascii="Times New Roman" w:hAnsi="Times New Roman"/>
          <w:sz w:val="26"/>
        </w:rPr>
        <w:t xml:space="preserve">2026 </w:t>
      </w:r>
      <w:r w:rsidRPr="00751B99">
        <w:rPr>
          <w:rFonts w:ascii="Times New Roman" w:hAnsi="Times New Roman"/>
          <w:sz w:val="26"/>
        </w:rPr>
        <w:t>р</w:t>
      </w:r>
      <w:r w:rsidR="007F0939">
        <w:rPr>
          <w:rFonts w:ascii="Times New Roman" w:hAnsi="Times New Roman"/>
          <w:sz w:val="26"/>
        </w:rPr>
        <w:t>оки</w:t>
      </w:r>
      <w:r w:rsidRPr="00751B99">
        <w:rPr>
          <w:rFonts w:ascii="Times New Roman" w:hAnsi="Times New Roman"/>
          <w:sz w:val="26"/>
        </w:rPr>
        <w:t>.</w:t>
      </w:r>
    </w:p>
    <w:p w14:paraId="19A2B999" w14:textId="68A417F5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Питома вага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єктів </w:t>
      </w:r>
      <w:r w:rsidR="004F33B8">
        <w:rPr>
          <w:rFonts w:ascii="Times New Roman" w:hAnsi="Times New Roman"/>
          <w:sz w:val="26"/>
        </w:rPr>
        <w:t>середнього</w:t>
      </w:r>
      <w:r w:rsidRPr="00751B99">
        <w:rPr>
          <w:rFonts w:ascii="Times New Roman" w:hAnsi="Times New Roman"/>
          <w:sz w:val="26"/>
        </w:rPr>
        <w:t xml:space="preserve"> підприємництва у загальній кількості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>єктів господарювання, на яких поширюється регулювання, становить 100 відсотків. Розрахунок витрат на запровадження державного регулювання для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єктів середнього підприємництва здійснено згідно з додатком 4 до Методики проведення аналізу впливу регуляторного акта, затвердженого постановою Кабінету Міністрів України від 11 березня 2004 р. № 308. </w:t>
      </w:r>
    </w:p>
    <w:p w14:paraId="29F8F753" w14:textId="4EC70A7C" w:rsidR="00430922" w:rsidRDefault="001816A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Витрати для одного суб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 xml:space="preserve">єкта господарювання середнього підприємництва, які виникають внаслідок дії регуляторного акта, наведені у додатку 1 до аналізу впливу регуляторного акта. </w:t>
      </w:r>
    </w:p>
    <w:p w14:paraId="3DCE6FD0" w14:textId="02B4899E" w:rsidR="00430922" w:rsidRPr="004C096D" w:rsidRDefault="001816A0" w:rsidP="004C096D">
      <w:pPr>
        <w:spacing w:after="0" w:line="240" w:lineRule="auto"/>
        <w:ind w:firstLine="720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</w:rPr>
        <w:t>Витрати суб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>єктів малого підприємництва не передбачаються, тому розрахунки витрат згідно з додатком 4 до Методики проведення аналізу впливу регуляторного акта не проводились</w:t>
      </w:r>
      <w:r>
        <w:rPr>
          <w:rFonts w:ascii="Times New Roman" w:hAnsi="Times New Roman"/>
          <w:sz w:val="26"/>
          <w:lang w:val="ru-RU"/>
        </w:rPr>
        <w:t>.</w:t>
      </w:r>
    </w:p>
    <w:p w14:paraId="3FD81C02" w14:textId="2541DC7F" w:rsidR="00430922" w:rsidRDefault="001816A0" w:rsidP="004C096D">
      <w:pPr>
        <w:spacing w:before="240" w:line="240" w:lineRule="auto"/>
        <w:ind w:firstLine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VІI. Обґрунтування запропонованого строку дії регуляторного акта</w:t>
      </w:r>
    </w:p>
    <w:p w14:paraId="730FB565" w14:textId="77F26B76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 xml:space="preserve">Строк дії </w:t>
      </w:r>
      <w:r w:rsidR="00135490">
        <w:rPr>
          <w:rFonts w:ascii="Times New Roman" w:hAnsi="Times New Roman"/>
          <w:sz w:val="26"/>
        </w:rPr>
        <w:t>проект</w:t>
      </w:r>
      <w:r w:rsidRPr="00751B99">
        <w:rPr>
          <w:rFonts w:ascii="Times New Roman" w:hAnsi="Times New Roman"/>
          <w:sz w:val="26"/>
        </w:rPr>
        <w:t xml:space="preserve">у постанови встановлюється </w:t>
      </w:r>
      <w:r w:rsidR="003B5DE4">
        <w:rPr>
          <w:rFonts w:ascii="Times New Roman" w:hAnsi="Times New Roman"/>
          <w:sz w:val="26"/>
        </w:rPr>
        <w:t>до 31 грудня 2026 року</w:t>
      </w:r>
      <w:r w:rsidRPr="00751B99">
        <w:rPr>
          <w:rFonts w:ascii="Times New Roman" w:hAnsi="Times New Roman"/>
          <w:sz w:val="26"/>
        </w:rPr>
        <w:t>.</w:t>
      </w:r>
    </w:p>
    <w:p w14:paraId="3CAEC9D2" w14:textId="06192928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 xml:space="preserve">Зміна строку дії регуляторного акта можлива в разі зміни законодавчих актів України вищої юридичної сили, на виконання яких розроблено цей </w:t>
      </w:r>
      <w:r w:rsidR="00135490">
        <w:rPr>
          <w:rFonts w:ascii="Times New Roman" w:hAnsi="Times New Roman"/>
          <w:sz w:val="26"/>
        </w:rPr>
        <w:t>проект</w:t>
      </w:r>
      <w:r w:rsidRPr="00751B99">
        <w:rPr>
          <w:rFonts w:ascii="Times New Roman" w:hAnsi="Times New Roman"/>
          <w:sz w:val="26"/>
        </w:rPr>
        <w:t xml:space="preserve"> регуляторного </w:t>
      </w:r>
      <w:proofErr w:type="spellStart"/>
      <w:r w:rsidRPr="00751B99">
        <w:rPr>
          <w:rFonts w:ascii="Times New Roman" w:hAnsi="Times New Roman"/>
          <w:sz w:val="26"/>
        </w:rPr>
        <w:t>акта</w:t>
      </w:r>
      <w:proofErr w:type="spellEnd"/>
      <w:r w:rsidR="003B5DE4">
        <w:rPr>
          <w:rFonts w:ascii="Times New Roman" w:hAnsi="Times New Roman"/>
          <w:sz w:val="26"/>
        </w:rPr>
        <w:t xml:space="preserve"> або виникнення об</w:t>
      </w:r>
      <w:r w:rsidR="004F2D13">
        <w:rPr>
          <w:rFonts w:ascii="Times New Roman" w:hAnsi="Times New Roman"/>
          <w:sz w:val="26"/>
        </w:rPr>
        <w:t>’</w:t>
      </w:r>
      <w:r w:rsidR="003B5DE4">
        <w:rPr>
          <w:rFonts w:ascii="Times New Roman" w:hAnsi="Times New Roman"/>
          <w:sz w:val="26"/>
        </w:rPr>
        <w:t xml:space="preserve">єктивної необхідності продовження терміну експериментального </w:t>
      </w:r>
      <w:r w:rsidR="00135490">
        <w:rPr>
          <w:rFonts w:ascii="Times New Roman" w:hAnsi="Times New Roman"/>
          <w:sz w:val="26"/>
        </w:rPr>
        <w:t>проект</w:t>
      </w:r>
      <w:r w:rsidR="003B5DE4">
        <w:rPr>
          <w:rFonts w:ascii="Times New Roman" w:hAnsi="Times New Roman"/>
          <w:sz w:val="26"/>
        </w:rPr>
        <w:t>у.</w:t>
      </w:r>
    </w:p>
    <w:p w14:paraId="7F1C6200" w14:textId="60083E53" w:rsidR="004C096D" w:rsidRDefault="009D1562" w:rsidP="004C096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Регуляторний акт діятиме з моменту набрання ним чинності</w:t>
      </w:r>
      <w:r w:rsidR="004C096D">
        <w:rPr>
          <w:rFonts w:ascii="Times New Roman" w:hAnsi="Times New Roman"/>
          <w:sz w:val="26"/>
        </w:rPr>
        <w:t>.</w:t>
      </w:r>
    </w:p>
    <w:p w14:paraId="43F13F82" w14:textId="374BD7EF" w:rsidR="00430922" w:rsidRDefault="001816A0" w:rsidP="004C096D">
      <w:pPr>
        <w:spacing w:before="240" w:line="240" w:lineRule="auto"/>
        <w:ind w:firstLine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VІII. Визначення показників результативності дії регуляторного акта</w:t>
      </w:r>
    </w:p>
    <w:p w14:paraId="755B0A60" w14:textId="28F4144D" w:rsidR="003B5DE4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 xml:space="preserve">Прийняття </w:t>
      </w:r>
      <w:r w:rsidR="00135490">
        <w:rPr>
          <w:rStyle w:val="4"/>
          <w:rFonts w:ascii="Times New Roman" w:hAnsi="Times New Roman"/>
          <w:sz w:val="26"/>
        </w:rPr>
        <w:t>проект</w:t>
      </w:r>
      <w:r>
        <w:rPr>
          <w:rStyle w:val="4"/>
          <w:rFonts w:ascii="Times New Roman" w:hAnsi="Times New Roman"/>
          <w:sz w:val="26"/>
        </w:rPr>
        <w:t xml:space="preserve">у </w:t>
      </w:r>
      <w:proofErr w:type="spellStart"/>
      <w:r w:rsidRPr="00751B99">
        <w:rPr>
          <w:rStyle w:val="4"/>
          <w:rFonts w:ascii="Times New Roman" w:hAnsi="Times New Roman"/>
          <w:sz w:val="26"/>
        </w:rPr>
        <w:t>акта</w:t>
      </w:r>
      <w:proofErr w:type="spellEnd"/>
      <w:r w:rsidRPr="00F23C7E">
        <w:rPr>
          <w:rFonts w:ascii="Times New Roman" w:hAnsi="Times New Roman"/>
          <w:sz w:val="26"/>
        </w:rPr>
        <w:t xml:space="preserve"> не впливатиме на розмір надходжень до державного й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місцевих бюджетів і державних цільових фондів та не передбачатиме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додаткових надходжень до загального фонду державного й місцевих бюджетів,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оскільки актом не створюються нові інструменти державного регулювання,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додаткові обов</w:t>
      </w:r>
      <w:r w:rsidR="004F2D13">
        <w:rPr>
          <w:rFonts w:ascii="Times New Roman" w:hAnsi="Times New Roman"/>
          <w:sz w:val="26"/>
        </w:rPr>
        <w:t>’</w:t>
      </w:r>
      <w:r w:rsidRPr="00F23C7E">
        <w:rPr>
          <w:rFonts w:ascii="Times New Roman" w:hAnsi="Times New Roman"/>
          <w:sz w:val="26"/>
        </w:rPr>
        <w:t>язки або нові платні послуги.</w:t>
      </w:r>
    </w:p>
    <w:p w14:paraId="7E957AB4" w14:textId="544A9476" w:rsidR="004C096D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2F51A1">
        <w:rPr>
          <w:rFonts w:ascii="Times New Roman" w:hAnsi="Times New Roman"/>
          <w:sz w:val="26"/>
        </w:rPr>
        <w:t>Рівень поінформованості суб</w:t>
      </w:r>
      <w:r w:rsidR="004F2D13">
        <w:rPr>
          <w:rFonts w:ascii="Times New Roman" w:hAnsi="Times New Roman"/>
          <w:sz w:val="26"/>
        </w:rPr>
        <w:t>’</w:t>
      </w:r>
      <w:r w:rsidRPr="002F51A1">
        <w:rPr>
          <w:rFonts w:ascii="Times New Roman" w:hAnsi="Times New Roman"/>
          <w:sz w:val="26"/>
        </w:rPr>
        <w:t>єктів господарювання про основні</w:t>
      </w:r>
      <w:r>
        <w:rPr>
          <w:rFonts w:ascii="Times New Roman" w:hAnsi="Times New Roman"/>
          <w:sz w:val="26"/>
        </w:rPr>
        <w:t xml:space="preserve"> </w:t>
      </w:r>
      <w:r w:rsidRPr="002F51A1">
        <w:rPr>
          <w:rFonts w:ascii="Times New Roman" w:hAnsi="Times New Roman"/>
          <w:sz w:val="26"/>
        </w:rPr>
        <w:t xml:space="preserve">положення </w:t>
      </w:r>
      <w:r w:rsidR="00135490">
        <w:rPr>
          <w:rFonts w:ascii="Times New Roman" w:hAnsi="Times New Roman"/>
          <w:sz w:val="26"/>
        </w:rPr>
        <w:t>проект</w:t>
      </w:r>
      <w:r w:rsidRPr="002F51A1">
        <w:rPr>
          <w:rFonts w:ascii="Times New Roman" w:hAnsi="Times New Roman"/>
          <w:sz w:val="26"/>
        </w:rPr>
        <w:t xml:space="preserve">у </w:t>
      </w:r>
      <w:proofErr w:type="spellStart"/>
      <w:r w:rsidRPr="002F51A1">
        <w:rPr>
          <w:rFonts w:ascii="Times New Roman" w:hAnsi="Times New Roman"/>
          <w:sz w:val="26"/>
        </w:rPr>
        <w:t>акта</w:t>
      </w:r>
      <w:proofErr w:type="spellEnd"/>
      <w:r w:rsidRPr="002F51A1">
        <w:rPr>
          <w:rFonts w:ascii="Times New Roman" w:hAnsi="Times New Roman"/>
          <w:sz w:val="26"/>
        </w:rPr>
        <w:t xml:space="preserve"> </w:t>
      </w:r>
      <w:r w:rsidR="00B8163A">
        <w:rPr>
          <w:rFonts w:ascii="Times New Roman" w:hAnsi="Times New Roman"/>
          <w:sz w:val="26"/>
        </w:rPr>
        <w:t>—</w:t>
      </w:r>
      <w:r w:rsidRPr="002F51A1">
        <w:rPr>
          <w:rFonts w:ascii="Times New Roman" w:hAnsi="Times New Roman"/>
          <w:sz w:val="26"/>
        </w:rPr>
        <w:t xml:space="preserve"> високий. </w:t>
      </w:r>
    </w:p>
    <w:p w14:paraId="23B29D7C" w14:textId="2B6EDD51" w:rsidR="004C096D" w:rsidRDefault="00135490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</w:t>
      </w:r>
      <w:r w:rsidR="003B5DE4" w:rsidRPr="00601E6F">
        <w:rPr>
          <w:rFonts w:ascii="Times New Roman" w:hAnsi="Times New Roman"/>
          <w:sz w:val="26"/>
        </w:rPr>
        <w:t xml:space="preserve"> </w:t>
      </w:r>
      <w:proofErr w:type="spellStart"/>
      <w:r w:rsidR="003B5DE4" w:rsidRPr="00601E6F">
        <w:rPr>
          <w:rFonts w:ascii="Times New Roman" w:hAnsi="Times New Roman"/>
          <w:sz w:val="26"/>
        </w:rPr>
        <w:t>акта</w:t>
      </w:r>
      <w:proofErr w:type="spellEnd"/>
      <w:r w:rsidR="003B5DE4" w:rsidRPr="00601E6F">
        <w:rPr>
          <w:rFonts w:ascii="Times New Roman" w:hAnsi="Times New Roman"/>
          <w:sz w:val="26"/>
        </w:rPr>
        <w:t xml:space="preserve"> розміщений на офіційному </w:t>
      </w:r>
      <w:proofErr w:type="spellStart"/>
      <w:r w:rsidR="003B5DE4" w:rsidRPr="00601E6F">
        <w:rPr>
          <w:rFonts w:ascii="Times New Roman" w:hAnsi="Times New Roman"/>
          <w:sz w:val="26"/>
        </w:rPr>
        <w:t>вебсайті</w:t>
      </w:r>
      <w:proofErr w:type="spellEnd"/>
      <w:r w:rsidR="003B5DE4" w:rsidRPr="00601E6F">
        <w:rPr>
          <w:rFonts w:ascii="Times New Roman" w:hAnsi="Times New Roman"/>
          <w:sz w:val="26"/>
        </w:rPr>
        <w:t xml:space="preserve"> Мінветеранів </w:t>
      </w:r>
      <w:r w:rsidR="004C096D" w:rsidRPr="00601E6F">
        <w:rPr>
          <w:rFonts w:ascii="Times New Roman" w:hAnsi="Times New Roman"/>
          <w:sz w:val="26"/>
        </w:rPr>
        <w:t>у розділі “Громадськості” – “</w:t>
      </w:r>
      <w:r w:rsidR="004C096D" w:rsidRPr="00601E6F">
        <w:t xml:space="preserve"> </w:t>
      </w:r>
      <w:r w:rsidR="004C096D" w:rsidRPr="00601E6F">
        <w:rPr>
          <w:rFonts w:ascii="Times New Roman" w:hAnsi="Times New Roman"/>
          <w:sz w:val="26"/>
        </w:rPr>
        <w:t xml:space="preserve">Консультації з громадськістю” </w:t>
      </w:r>
      <w:r w:rsidR="003B5DE4" w:rsidRPr="00601E6F">
        <w:rPr>
          <w:rFonts w:ascii="Times New Roman" w:hAnsi="Times New Roman"/>
          <w:sz w:val="26"/>
        </w:rPr>
        <w:t xml:space="preserve">за посиланням: </w:t>
      </w:r>
      <w:r w:rsidR="00601E6F" w:rsidRPr="00601E6F">
        <w:rPr>
          <w:rFonts w:ascii="Times New Roman" w:hAnsi="Times New Roman"/>
          <w:sz w:val="26"/>
        </w:rPr>
        <w:t>https://surli.cc/uunisk.</w:t>
      </w:r>
    </w:p>
    <w:p w14:paraId="519AEFBD" w14:textId="7F15AE90" w:rsidR="003B5DE4" w:rsidRPr="004A7812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7812">
        <w:rPr>
          <w:rFonts w:ascii="Times New Roman" w:hAnsi="Times New Roman"/>
          <w:sz w:val="26"/>
          <w:szCs w:val="26"/>
        </w:rPr>
        <w:t xml:space="preserve">Дія </w:t>
      </w:r>
      <w:proofErr w:type="spellStart"/>
      <w:r w:rsidRPr="004A7812">
        <w:rPr>
          <w:rFonts w:ascii="Times New Roman" w:hAnsi="Times New Roman"/>
          <w:sz w:val="26"/>
          <w:szCs w:val="26"/>
        </w:rPr>
        <w:t>акта</w:t>
      </w:r>
      <w:proofErr w:type="spellEnd"/>
      <w:r w:rsidRPr="004A7812">
        <w:rPr>
          <w:rFonts w:ascii="Times New Roman" w:hAnsi="Times New Roman"/>
          <w:sz w:val="26"/>
          <w:szCs w:val="26"/>
        </w:rPr>
        <w:t xml:space="preserve"> поширюватиметься на Мінветеранів, </w:t>
      </w:r>
      <w:r w:rsidR="004A7812" w:rsidRPr="004A7812">
        <w:rPr>
          <w:rFonts w:ascii="Times New Roman" w:hAnsi="Times New Roman"/>
          <w:sz w:val="26"/>
          <w:szCs w:val="26"/>
        </w:rPr>
        <w:t xml:space="preserve">МОЗ, Мінсоцполітики, МОН, НСЗУ, районні, районні у містах Києві та Севастополі держадміністрації, виконавчі органи </w:t>
      </w:r>
      <w:r w:rsidR="004A7812" w:rsidRPr="004A7812">
        <w:rPr>
          <w:rFonts w:ascii="Times New Roman" w:hAnsi="Times New Roman"/>
          <w:sz w:val="26"/>
          <w:szCs w:val="26"/>
        </w:rPr>
        <w:lastRenderedPageBreak/>
        <w:t>сільських, селищних, міських рад (за згодою), суб</w:t>
      </w:r>
      <w:r w:rsidR="004F2D13">
        <w:rPr>
          <w:rFonts w:ascii="Times New Roman" w:hAnsi="Times New Roman"/>
          <w:sz w:val="26"/>
          <w:szCs w:val="26"/>
        </w:rPr>
        <w:t>’</w:t>
      </w:r>
      <w:r w:rsidR="004A7812" w:rsidRPr="004A7812">
        <w:rPr>
          <w:rFonts w:ascii="Times New Roman" w:hAnsi="Times New Roman"/>
          <w:sz w:val="26"/>
          <w:szCs w:val="26"/>
        </w:rPr>
        <w:t xml:space="preserve">єкти надання послуг з адаптації та особи </w:t>
      </w:r>
      <w:r w:rsidR="00B8163A">
        <w:rPr>
          <w:rFonts w:ascii="Times New Roman" w:hAnsi="Times New Roman"/>
          <w:sz w:val="26"/>
          <w:szCs w:val="26"/>
        </w:rPr>
        <w:t>—</w:t>
      </w:r>
      <w:r w:rsidR="004A7812" w:rsidRPr="004A7812">
        <w:rPr>
          <w:rFonts w:ascii="Times New Roman" w:hAnsi="Times New Roman"/>
          <w:sz w:val="26"/>
          <w:szCs w:val="26"/>
        </w:rPr>
        <w:t xml:space="preserve"> отримувач послуг з адаптації</w:t>
      </w:r>
      <w:r w:rsidRPr="004A7812">
        <w:rPr>
          <w:rFonts w:ascii="Times New Roman" w:hAnsi="Times New Roman"/>
          <w:sz w:val="26"/>
          <w:szCs w:val="26"/>
        </w:rPr>
        <w:t xml:space="preserve">. На сьогодні </w:t>
      </w:r>
      <w:r w:rsidR="00135490">
        <w:rPr>
          <w:rFonts w:ascii="Times New Roman" w:hAnsi="Times New Roman"/>
          <w:sz w:val="26"/>
          <w:szCs w:val="26"/>
        </w:rPr>
        <w:t>проект</w:t>
      </w:r>
      <w:r w:rsidRPr="004A78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7812">
        <w:rPr>
          <w:rFonts w:ascii="Times New Roman" w:hAnsi="Times New Roman"/>
          <w:sz w:val="26"/>
          <w:szCs w:val="26"/>
        </w:rPr>
        <w:t>акта</w:t>
      </w:r>
      <w:proofErr w:type="spellEnd"/>
      <w:r w:rsidRPr="004A7812">
        <w:rPr>
          <w:rFonts w:ascii="Times New Roman" w:hAnsi="Times New Roman"/>
          <w:sz w:val="26"/>
          <w:szCs w:val="26"/>
        </w:rPr>
        <w:t xml:space="preserve"> охоплює </w:t>
      </w:r>
      <w:r w:rsidR="00C0763B" w:rsidRPr="00C0763B">
        <w:rPr>
          <w:rFonts w:ascii="Times New Roman" w:hAnsi="Times New Roman"/>
          <w:sz w:val="26"/>
          <w:szCs w:val="26"/>
        </w:rPr>
        <w:t>15</w:t>
      </w:r>
      <w:r w:rsidRPr="00C0763B">
        <w:rPr>
          <w:rFonts w:ascii="Times New Roman" w:hAnsi="Times New Roman"/>
          <w:sz w:val="26"/>
          <w:szCs w:val="26"/>
        </w:rPr>
        <w:t xml:space="preserve"> суб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C0763B">
        <w:rPr>
          <w:rFonts w:ascii="Times New Roman" w:hAnsi="Times New Roman"/>
          <w:sz w:val="26"/>
          <w:szCs w:val="26"/>
        </w:rPr>
        <w:t>єктів господарювання.</w:t>
      </w:r>
    </w:p>
    <w:p w14:paraId="64F75F3D" w14:textId="77777777" w:rsidR="00601E6F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>Кількісними показниками, які безпосередньо характеризують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результативність дії регуляторного акта та які підлягають контролю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(відстеження результативності), є наявність або відсутність скарг у сфері</w:t>
      </w:r>
      <w:r>
        <w:rPr>
          <w:rFonts w:ascii="Times New Roman" w:hAnsi="Times New Roman"/>
          <w:sz w:val="26"/>
        </w:rPr>
        <w:t xml:space="preserve"> надання</w:t>
      </w:r>
      <w:r w:rsidRPr="00F23C7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послуг із </w:t>
      </w:r>
      <w:r w:rsidR="004F33B8"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E40020">
        <w:rPr>
          <w:rFonts w:ascii="Times New Roman" w:hAnsi="Times New Roman"/>
          <w:sz w:val="26"/>
          <w:szCs w:val="26"/>
        </w:rPr>
        <w:t xml:space="preserve">та відновлення </w:t>
      </w:r>
      <w:r w:rsidR="004F33B8"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="004F33B8"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 w:rsidRPr="00F23C7E">
        <w:rPr>
          <w:rFonts w:ascii="Times New Roman" w:hAnsi="Times New Roman"/>
          <w:sz w:val="26"/>
        </w:rPr>
        <w:t xml:space="preserve">; </w:t>
      </w:r>
    </w:p>
    <w:p w14:paraId="3C1058D2" w14:textId="41545856" w:rsidR="00430922" w:rsidRDefault="003B5DE4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 xml:space="preserve">збільшення </w:t>
      </w:r>
      <w:r>
        <w:rPr>
          <w:rFonts w:ascii="Times New Roman" w:hAnsi="Times New Roman"/>
          <w:sz w:val="26"/>
        </w:rPr>
        <w:t xml:space="preserve">кількості наданих послуг із </w:t>
      </w:r>
      <w:r w:rsidR="004F33B8"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2A0B7D" w:rsidRPr="00DD4B34">
        <w:rPr>
          <w:rFonts w:ascii="Times New Roman" w:hAnsi="Times New Roman"/>
          <w:sz w:val="26"/>
          <w:szCs w:val="26"/>
        </w:rPr>
        <w:t>окремих категорій</w:t>
      </w:r>
      <w:r w:rsidR="002A0B7D">
        <w:rPr>
          <w:rFonts w:ascii="Times New Roman" w:hAnsi="Times New Roman"/>
          <w:sz w:val="26"/>
          <w:szCs w:val="26"/>
        </w:rPr>
        <w:t xml:space="preserve"> </w:t>
      </w:r>
      <w:r w:rsidR="002A0B7D" w:rsidRPr="00DD4B34">
        <w:rPr>
          <w:rFonts w:ascii="Times New Roman" w:hAnsi="Times New Roman"/>
          <w:sz w:val="26"/>
          <w:szCs w:val="26"/>
        </w:rPr>
        <w:t>осіб, які повністю або частково втратили зір та захищали незалежність, суверенітет та територіальну цілісність України</w:t>
      </w:r>
      <w:r w:rsidRPr="00F23C7E">
        <w:rPr>
          <w:rFonts w:ascii="Times New Roman" w:hAnsi="Times New Roman"/>
          <w:sz w:val="26"/>
        </w:rPr>
        <w:t>; реалізація права</w:t>
      </w:r>
      <w:r w:rsidR="00E84AA5">
        <w:rPr>
          <w:rFonts w:ascii="Times New Roman" w:hAnsi="Times New Roman"/>
          <w:sz w:val="26"/>
        </w:rPr>
        <w:t xml:space="preserve"> на</w:t>
      </w:r>
      <w:r w:rsidRPr="00F23C7E">
        <w:rPr>
          <w:rFonts w:ascii="Times New Roman" w:hAnsi="Times New Roman"/>
          <w:sz w:val="26"/>
        </w:rPr>
        <w:t xml:space="preserve"> </w:t>
      </w:r>
      <w:r w:rsidR="00E84AA5" w:rsidRPr="0058002C">
        <w:rPr>
          <w:rFonts w:ascii="Times New Roman" w:hAnsi="Times New Roman"/>
          <w:sz w:val="26"/>
          <w:szCs w:val="26"/>
        </w:rPr>
        <w:t>адаптаці</w:t>
      </w:r>
      <w:r w:rsidR="00E84AA5">
        <w:rPr>
          <w:rFonts w:ascii="Times New Roman" w:hAnsi="Times New Roman"/>
          <w:sz w:val="26"/>
          <w:szCs w:val="26"/>
        </w:rPr>
        <w:t>ю</w:t>
      </w:r>
      <w:r w:rsidR="00E84AA5" w:rsidRPr="0058002C">
        <w:rPr>
          <w:rFonts w:ascii="Times New Roman" w:hAnsi="Times New Roman"/>
          <w:sz w:val="26"/>
          <w:szCs w:val="26"/>
        </w:rPr>
        <w:t xml:space="preserve"> </w:t>
      </w:r>
      <w:r w:rsidR="002A0B7D" w:rsidRPr="00DD4B34">
        <w:rPr>
          <w:rFonts w:ascii="Times New Roman" w:hAnsi="Times New Roman"/>
          <w:sz w:val="26"/>
          <w:szCs w:val="26"/>
        </w:rPr>
        <w:t>окремих категорій</w:t>
      </w:r>
      <w:r w:rsidR="002A0B7D">
        <w:rPr>
          <w:rFonts w:ascii="Times New Roman" w:hAnsi="Times New Roman"/>
          <w:sz w:val="26"/>
          <w:szCs w:val="26"/>
        </w:rPr>
        <w:t xml:space="preserve"> </w:t>
      </w:r>
      <w:r w:rsidR="002A0B7D" w:rsidRPr="00DD4B34">
        <w:rPr>
          <w:rFonts w:ascii="Times New Roman" w:hAnsi="Times New Roman"/>
          <w:sz w:val="26"/>
          <w:szCs w:val="26"/>
        </w:rPr>
        <w:t>осіб, які повністю або частково втратили зір та захищали незалежність, суверенітет та територіальну цілісність України</w:t>
      </w:r>
      <w:r w:rsidRPr="00F23C7E">
        <w:rPr>
          <w:rFonts w:ascii="Times New Roman" w:hAnsi="Times New Roman"/>
          <w:sz w:val="26"/>
        </w:rPr>
        <w:t>.</w:t>
      </w:r>
    </w:p>
    <w:p w14:paraId="6C814F8F" w14:textId="3F0B2BF0" w:rsidR="00430922" w:rsidRDefault="001816A0" w:rsidP="00601E6F">
      <w:pPr>
        <w:spacing w:before="24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ІX. Визначення заходів, за допомогою яких здійснюватиметься відстеження</w:t>
      </w:r>
      <w:r w:rsidR="00601E6F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результативності регуляторного акта</w:t>
      </w:r>
    </w:p>
    <w:p w14:paraId="37D61936" w14:textId="312D1DD8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Щодо </w:t>
      </w:r>
      <w:r w:rsidR="00135490">
        <w:rPr>
          <w:rFonts w:ascii="Times New Roman" w:hAnsi="Times New Roman"/>
          <w:sz w:val="26"/>
        </w:rPr>
        <w:t>проект</w:t>
      </w:r>
      <w:r>
        <w:rPr>
          <w:rFonts w:ascii="Times New Roman" w:hAnsi="Times New Roman"/>
          <w:sz w:val="26"/>
        </w:rPr>
        <w:t xml:space="preserve">у постанови буде послідовно здійснюватися базове, повторне та періодичне відстеження результативності. </w:t>
      </w:r>
    </w:p>
    <w:p w14:paraId="2B91F4A0" w14:textId="66511D7E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FC31C1">
        <w:rPr>
          <w:rFonts w:ascii="Times New Roman" w:hAnsi="Times New Roman"/>
          <w:sz w:val="26"/>
        </w:rPr>
        <w:t xml:space="preserve">Базове відстеження результативності регуляторного </w:t>
      </w:r>
      <w:proofErr w:type="spellStart"/>
      <w:r w:rsidRPr="00FC31C1">
        <w:rPr>
          <w:rFonts w:ascii="Times New Roman" w:hAnsi="Times New Roman"/>
          <w:sz w:val="26"/>
        </w:rPr>
        <w:t>акта</w:t>
      </w:r>
      <w:proofErr w:type="spellEnd"/>
      <w:r w:rsidRPr="00FC31C1">
        <w:rPr>
          <w:rFonts w:ascii="Times New Roman" w:hAnsi="Times New Roman"/>
          <w:sz w:val="26"/>
        </w:rPr>
        <w:t xml:space="preserve"> буде проведено </w:t>
      </w:r>
      <w:r w:rsidR="00FC31C1" w:rsidRPr="00FC31C1">
        <w:rPr>
          <w:rFonts w:ascii="Times New Roman" w:hAnsi="Times New Roman"/>
          <w:sz w:val="26"/>
        </w:rPr>
        <w:t xml:space="preserve">у </w:t>
      </w:r>
      <w:r w:rsidR="00FC31C1" w:rsidRPr="00FC31C1">
        <w:rPr>
          <w:rFonts w:ascii="Times New Roman" w:hAnsi="Times New Roman"/>
          <w:sz w:val="26"/>
          <w:lang w:val="en-US"/>
        </w:rPr>
        <w:t>II</w:t>
      </w:r>
      <w:r w:rsidR="00FC31C1" w:rsidRPr="00FC31C1">
        <w:rPr>
          <w:rFonts w:ascii="Times New Roman" w:hAnsi="Times New Roman"/>
          <w:sz w:val="26"/>
        </w:rPr>
        <w:t> кварталі 2026 року</w:t>
      </w:r>
      <w:r w:rsidRPr="00FC31C1">
        <w:rPr>
          <w:rFonts w:ascii="Times New Roman" w:hAnsi="Times New Roman"/>
          <w:sz w:val="26"/>
        </w:rPr>
        <w:t xml:space="preserve">, але не пізніше дня, з якого починається проведення повторного відстеження результативності цього </w:t>
      </w:r>
      <w:proofErr w:type="spellStart"/>
      <w:r w:rsidRPr="00FC31C1">
        <w:rPr>
          <w:rFonts w:ascii="Times New Roman" w:hAnsi="Times New Roman"/>
          <w:sz w:val="26"/>
        </w:rPr>
        <w:t>акта</w:t>
      </w:r>
      <w:proofErr w:type="spellEnd"/>
      <w:r w:rsidRPr="00FC31C1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196266F5" w14:textId="5ABA059F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Повторне відстеження результативності 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 </w:t>
      </w:r>
      <w:r w:rsidR="00657AA0">
        <w:rPr>
          <w:rFonts w:ascii="Times New Roman" w:hAnsi="Times New Roman"/>
          <w:sz w:val="26"/>
        </w:rPr>
        <w:t>31 грудня 2026 року</w:t>
      </w:r>
      <w:r>
        <w:rPr>
          <w:rFonts w:ascii="Times New Roman" w:hAnsi="Times New Roman"/>
          <w:sz w:val="26"/>
        </w:rPr>
        <w:t>.</w:t>
      </w:r>
    </w:p>
    <w:p w14:paraId="6F148DC2" w14:textId="37BDF647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Періодичне відстеження результативності 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 </w:t>
      </w:r>
      <w:r w:rsidR="00657AA0">
        <w:rPr>
          <w:rFonts w:ascii="Times New Roman" w:hAnsi="Times New Roman"/>
          <w:sz w:val="26"/>
        </w:rPr>
        <w:t xml:space="preserve">не рідше </w:t>
      </w:r>
      <w:r>
        <w:rPr>
          <w:rFonts w:ascii="Times New Roman" w:hAnsi="Times New Roman"/>
          <w:sz w:val="26"/>
        </w:rPr>
        <w:t>од</w:t>
      </w:r>
      <w:r w:rsidR="00657AA0">
        <w:rPr>
          <w:rFonts w:ascii="Times New Roman" w:hAnsi="Times New Roman"/>
          <w:sz w:val="26"/>
        </w:rPr>
        <w:t>ного</w:t>
      </w:r>
      <w:r>
        <w:rPr>
          <w:rFonts w:ascii="Times New Roman" w:hAnsi="Times New Roman"/>
          <w:sz w:val="26"/>
        </w:rPr>
        <w:t xml:space="preserve"> раз</w:t>
      </w:r>
      <w:r w:rsidR="00657AA0"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на </w:t>
      </w:r>
      <w:r w:rsidR="00657AA0">
        <w:rPr>
          <w:rFonts w:ascii="Times New Roman" w:hAnsi="Times New Roman"/>
          <w:sz w:val="26"/>
        </w:rPr>
        <w:t>рік</w:t>
      </w:r>
    </w:p>
    <w:p w14:paraId="028F33A2" w14:textId="77777777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 разі виявлення неврегульованих та проблемних моментів шляхом проведення аналізу показників дії цього акта, ці моменти буде виправлено внесенням відповідних змін. </w:t>
      </w:r>
    </w:p>
    <w:p w14:paraId="4ABC6D8C" w14:textId="7D83B610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Метод проведення відстеження результативності 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 статистичний. </w:t>
      </w:r>
    </w:p>
    <w:p w14:paraId="39C36755" w14:textId="499D6123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Вид даних, за допомогою яких здійснюватиметься відстеження результативності 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 статистичний. </w:t>
      </w:r>
    </w:p>
    <w:p w14:paraId="185FFFB3" w14:textId="77777777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Відповідні відстеження будуть проводитись шляхом аналізу статистичних даних, виконавцем яких є Міністерство у справах ветеранів України.</w:t>
      </w:r>
    </w:p>
    <w:p w14:paraId="35E12502" w14:textId="77777777" w:rsidR="00430922" w:rsidRDefault="001816A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1955934C" w14:textId="77777777" w:rsidR="00430922" w:rsidRDefault="001816A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Додаток 1</w:t>
      </w:r>
    </w:p>
    <w:p w14:paraId="03008EB9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14:paraId="477006F4" w14:textId="77777777" w:rsidR="00430922" w:rsidRPr="00D42806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D42806">
        <w:rPr>
          <w:rFonts w:ascii="Times New Roman" w:hAnsi="Times New Roman"/>
          <w:b/>
          <w:sz w:val="26"/>
        </w:rPr>
        <w:t xml:space="preserve">ВИТРАТИ </w:t>
      </w:r>
    </w:p>
    <w:p w14:paraId="2FC79DE1" w14:textId="647AB56D" w:rsidR="00430922" w:rsidRPr="00D42806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D42806">
        <w:rPr>
          <w:rFonts w:ascii="Times New Roman" w:hAnsi="Times New Roman"/>
          <w:b/>
          <w:sz w:val="26"/>
        </w:rPr>
        <w:t>на одного суб</w:t>
      </w:r>
      <w:r w:rsidR="004F2D13">
        <w:rPr>
          <w:rFonts w:ascii="Times New Roman" w:hAnsi="Times New Roman"/>
          <w:b/>
          <w:sz w:val="26"/>
        </w:rPr>
        <w:t>’</w:t>
      </w:r>
      <w:r w:rsidRPr="00D42806">
        <w:rPr>
          <w:rFonts w:ascii="Times New Roman" w:hAnsi="Times New Roman"/>
          <w:b/>
          <w:sz w:val="26"/>
        </w:rPr>
        <w:t>єкта господарювання середнього підприємництва, які виникають внаслідок дії регуляторного акта</w:t>
      </w:r>
    </w:p>
    <w:p w14:paraId="1800860D" w14:textId="77777777" w:rsidR="00430922" w:rsidRPr="00D42806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6238"/>
        <w:gridCol w:w="1605"/>
        <w:gridCol w:w="1603"/>
      </w:tblGrid>
      <w:tr w:rsidR="00430922" w:rsidRPr="00D42806" w14:paraId="2E9423A8" w14:textId="77777777" w:rsidTr="00601E6F">
        <w:tc>
          <w:tcPr>
            <w:tcW w:w="0" w:type="auto"/>
            <w:vAlign w:val="center"/>
          </w:tcPr>
          <w:p w14:paraId="672354DF" w14:textId="77777777" w:rsidR="00430922" w:rsidRPr="00601E6F" w:rsidRDefault="001816A0" w:rsidP="00601E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E6F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0" w:type="auto"/>
            <w:vAlign w:val="center"/>
          </w:tcPr>
          <w:p w14:paraId="517BD909" w14:textId="77777777" w:rsidR="00430922" w:rsidRPr="00601E6F" w:rsidRDefault="001816A0" w:rsidP="00601E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E6F">
              <w:rPr>
                <w:rFonts w:ascii="Times New Roman" w:hAnsi="Times New Roman"/>
                <w:b/>
                <w:bCs/>
                <w:sz w:val="24"/>
              </w:rPr>
              <w:t>Витрати</w:t>
            </w:r>
          </w:p>
        </w:tc>
        <w:tc>
          <w:tcPr>
            <w:tcW w:w="0" w:type="auto"/>
            <w:vAlign w:val="center"/>
          </w:tcPr>
          <w:p w14:paraId="174208F0" w14:textId="77777777" w:rsidR="00430922" w:rsidRPr="00601E6F" w:rsidRDefault="001816A0" w:rsidP="00601E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E6F">
              <w:rPr>
                <w:rFonts w:ascii="Times New Roman" w:hAnsi="Times New Roman"/>
                <w:b/>
                <w:bCs/>
                <w:sz w:val="24"/>
              </w:rPr>
              <w:t>За перший рік, грн</w:t>
            </w:r>
          </w:p>
        </w:tc>
        <w:tc>
          <w:tcPr>
            <w:tcW w:w="0" w:type="auto"/>
            <w:vAlign w:val="center"/>
          </w:tcPr>
          <w:p w14:paraId="5B5D8A6B" w14:textId="54623F8D" w:rsidR="00430922" w:rsidRPr="00601E6F" w:rsidRDefault="001816A0" w:rsidP="00601E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E6F">
              <w:rPr>
                <w:rFonts w:ascii="Times New Roman" w:hAnsi="Times New Roman"/>
                <w:b/>
                <w:bCs/>
                <w:sz w:val="24"/>
              </w:rPr>
              <w:t>За п</w:t>
            </w:r>
            <w:r w:rsidR="004F2D13" w:rsidRPr="00601E6F">
              <w:rPr>
                <w:rFonts w:ascii="Times New Roman" w:hAnsi="Times New Roman"/>
                <w:b/>
                <w:bCs/>
                <w:sz w:val="24"/>
              </w:rPr>
              <w:t>’</w:t>
            </w:r>
            <w:r w:rsidRPr="00601E6F">
              <w:rPr>
                <w:rFonts w:ascii="Times New Roman" w:hAnsi="Times New Roman"/>
                <w:b/>
                <w:bCs/>
                <w:sz w:val="24"/>
              </w:rPr>
              <w:t>ять років, грн</w:t>
            </w:r>
          </w:p>
        </w:tc>
      </w:tr>
      <w:tr w:rsidR="00430922" w:rsidRPr="00D42806" w14:paraId="6687E9DB" w14:textId="77777777" w:rsidTr="00601E6F">
        <w:tc>
          <w:tcPr>
            <w:tcW w:w="0" w:type="auto"/>
            <w:vAlign w:val="center"/>
          </w:tcPr>
          <w:p w14:paraId="0428B662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28E9729E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0" w:type="auto"/>
            <w:vAlign w:val="center"/>
          </w:tcPr>
          <w:p w14:paraId="1EDEE6E6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684CD4AD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1BB89306" w14:textId="77777777" w:rsidTr="00601E6F">
        <w:tc>
          <w:tcPr>
            <w:tcW w:w="0" w:type="auto"/>
            <w:vAlign w:val="center"/>
          </w:tcPr>
          <w:p w14:paraId="07235DD0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72D2B393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0" w:type="auto"/>
            <w:vAlign w:val="center"/>
          </w:tcPr>
          <w:p w14:paraId="18400564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6B1B91E3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38ECCE51" w14:textId="77777777" w:rsidTr="00601E6F">
        <w:tc>
          <w:tcPr>
            <w:tcW w:w="0" w:type="auto"/>
            <w:vAlign w:val="center"/>
          </w:tcPr>
          <w:p w14:paraId="12ED13D7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2C1EDD99" w14:textId="4ECB20E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Витрати, пов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язані із веденням обліку, підготовкою та поданням звітності державним органам, гривень</w:t>
            </w:r>
          </w:p>
        </w:tc>
        <w:tc>
          <w:tcPr>
            <w:tcW w:w="0" w:type="auto"/>
            <w:vAlign w:val="center"/>
          </w:tcPr>
          <w:p w14:paraId="3727FCCA" w14:textId="162E608A" w:rsidR="00430922" w:rsidRPr="00D42806" w:rsidRDefault="00015492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12000</w:t>
            </w:r>
          </w:p>
        </w:tc>
        <w:tc>
          <w:tcPr>
            <w:tcW w:w="0" w:type="auto"/>
            <w:vAlign w:val="center"/>
          </w:tcPr>
          <w:p w14:paraId="1419B2CB" w14:textId="0D5F2580" w:rsidR="00430922" w:rsidRPr="00D42806" w:rsidRDefault="00015492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60000</w:t>
            </w:r>
          </w:p>
        </w:tc>
      </w:tr>
      <w:tr w:rsidR="00430922" w:rsidRPr="00D42806" w14:paraId="5B864A4D" w14:textId="77777777" w:rsidTr="00601E6F">
        <w:tc>
          <w:tcPr>
            <w:tcW w:w="0" w:type="auto"/>
            <w:vAlign w:val="center"/>
          </w:tcPr>
          <w:p w14:paraId="6FB3D895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6188C031" w14:textId="3C9B4EB9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Витрати, пов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0" w:type="auto"/>
            <w:vAlign w:val="center"/>
          </w:tcPr>
          <w:p w14:paraId="5641FF93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3CF69A32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664E3F8E" w14:textId="77777777" w:rsidTr="00601E6F">
        <w:tc>
          <w:tcPr>
            <w:tcW w:w="0" w:type="auto"/>
            <w:vAlign w:val="center"/>
          </w:tcPr>
          <w:p w14:paraId="49DD5984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4BC00C39" w14:textId="71210C23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0" w:type="auto"/>
            <w:vAlign w:val="center"/>
          </w:tcPr>
          <w:p w14:paraId="21A1B66F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53E07DFD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235BFC46" w14:textId="77777777" w:rsidTr="00601E6F">
        <w:tc>
          <w:tcPr>
            <w:tcW w:w="0" w:type="auto"/>
            <w:vAlign w:val="center"/>
          </w:tcPr>
          <w:p w14:paraId="62E912F6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2289422F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0" w:type="auto"/>
            <w:vAlign w:val="center"/>
          </w:tcPr>
          <w:p w14:paraId="06BCBE40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11DB4112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48862A34" w14:textId="77777777" w:rsidTr="00601E6F">
        <w:tc>
          <w:tcPr>
            <w:tcW w:w="0" w:type="auto"/>
            <w:vAlign w:val="center"/>
          </w:tcPr>
          <w:p w14:paraId="1AE9CDC4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0" w:type="auto"/>
            <w:vAlign w:val="center"/>
          </w:tcPr>
          <w:p w14:paraId="1687A4DC" w14:textId="52AD9CE0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Витрати, пов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 xml:space="preserve">язані із </w:t>
            </w:r>
            <w:proofErr w:type="spellStart"/>
            <w:r w:rsidRPr="00D42806">
              <w:rPr>
                <w:rFonts w:ascii="Times New Roman" w:hAnsi="Times New Roman"/>
                <w:sz w:val="24"/>
              </w:rPr>
              <w:t>наймом</w:t>
            </w:r>
            <w:proofErr w:type="spellEnd"/>
            <w:r w:rsidRPr="00D42806">
              <w:rPr>
                <w:rFonts w:ascii="Times New Roman" w:hAnsi="Times New Roman"/>
                <w:sz w:val="24"/>
              </w:rPr>
              <w:t xml:space="preserve"> додаткового персоналу, гривень</w:t>
            </w:r>
          </w:p>
        </w:tc>
        <w:tc>
          <w:tcPr>
            <w:tcW w:w="0" w:type="auto"/>
            <w:vAlign w:val="center"/>
          </w:tcPr>
          <w:p w14:paraId="6CCC386D" w14:textId="1D6E06B7" w:rsidR="00430922" w:rsidRPr="00D42806" w:rsidRDefault="00015492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765600</w:t>
            </w:r>
          </w:p>
        </w:tc>
        <w:tc>
          <w:tcPr>
            <w:tcW w:w="0" w:type="auto"/>
            <w:vAlign w:val="center"/>
          </w:tcPr>
          <w:p w14:paraId="719DA9C0" w14:textId="403D5E80" w:rsidR="00430922" w:rsidRPr="00D42806" w:rsidRDefault="00015492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816A0" w:rsidRPr="00D4280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28</w:t>
            </w:r>
            <w:r w:rsidR="001816A0" w:rsidRPr="00D42806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430922" w:rsidRPr="00D42806" w14:paraId="61972333" w14:textId="77777777" w:rsidTr="00601E6F">
        <w:tc>
          <w:tcPr>
            <w:tcW w:w="0" w:type="auto"/>
            <w:vAlign w:val="center"/>
          </w:tcPr>
          <w:p w14:paraId="5E0DE5AE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0" w:type="auto"/>
            <w:vAlign w:val="center"/>
          </w:tcPr>
          <w:p w14:paraId="5631276A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Інше (уточнити), гривень</w:t>
            </w:r>
          </w:p>
        </w:tc>
        <w:tc>
          <w:tcPr>
            <w:tcW w:w="0" w:type="auto"/>
            <w:vAlign w:val="center"/>
          </w:tcPr>
          <w:p w14:paraId="36C1FA3B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4AA9726A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6D714138" w14:textId="77777777" w:rsidTr="00601E6F">
        <w:tc>
          <w:tcPr>
            <w:tcW w:w="0" w:type="auto"/>
            <w:vAlign w:val="center"/>
          </w:tcPr>
          <w:p w14:paraId="7E2E3B6F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0" w:type="auto"/>
            <w:vAlign w:val="center"/>
          </w:tcPr>
          <w:p w14:paraId="4EAAFE58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РАЗОМ (сума рядків: 1 + 2 + 3 + 4 + 5 + 6 + 7 + 8), гривень</w:t>
            </w:r>
          </w:p>
        </w:tc>
        <w:tc>
          <w:tcPr>
            <w:tcW w:w="0" w:type="auto"/>
            <w:vAlign w:val="center"/>
          </w:tcPr>
          <w:p w14:paraId="10EC5AE6" w14:textId="3D270816" w:rsidR="00430922" w:rsidRPr="00D42806" w:rsidRDefault="00CC3263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777600</w:t>
            </w:r>
          </w:p>
        </w:tc>
        <w:tc>
          <w:tcPr>
            <w:tcW w:w="0" w:type="auto"/>
            <w:vAlign w:val="center"/>
          </w:tcPr>
          <w:p w14:paraId="5667F6BB" w14:textId="2C12493B" w:rsidR="00430922" w:rsidRPr="00D42806" w:rsidRDefault="00CC3263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3888000</w:t>
            </w:r>
          </w:p>
        </w:tc>
      </w:tr>
      <w:tr w:rsidR="00430922" w:rsidRPr="00D42806" w14:paraId="1D839302" w14:textId="77777777" w:rsidTr="00601E6F">
        <w:tc>
          <w:tcPr>
            <w:tcW w:w="0" w:type="auto"/>
            <w:vAlign w:val="center"/>
          </w:tcPr>
          <w:p w14:paraId="2CDFE0A7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0" w:type="auto"/>
            <w:vAlign w:val="center"/>
          </w:tcPr>
          <w:p w14:paraId="23BA424F" w14:textId="57DC9B56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Кількість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0" w:type="auto"/>
            <w:vAlign w:val="center"/>
          </w:tcPr>
          <w:p w14:paraId="3B8E89CC" w14:textId="6EDD1B22" w:rsidR="00430922" w:rsidRPr="00D42806" w:rsidRDefault="002C67B1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6491A51" w14:textId="2616D7D0" w:rsidR="00430922" w:rsidRPr="00D42806" w:rsidRDefault="002C67B1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430922" w14:paraId="00829156" w14:textId="77777777" w:rsidTr="00601E6F">
        <w:tc>
          <w:tcPr>
            <w:tcW w:w="0" w:type="auto"/>
            <w:vAlign w:val="center"/>
          </w:tcPr>
          <w:p w14:paraId="5BAB77AF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0" w:type="auto"/>
            <w:vAlign w:val="center"/>
          </w:tcPr>
          <w:p w14:paraId="5C1B6B1C" w14:textId="44393D84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Сумарні витрати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0" w:type="auto"/>
            <w:vAlign w:val="center"/>
          </w:tcPr>
          <w:p w14:paraId="22E8F8A6" w14:textId="0046F486" w:rsidR="00430922" w:rsidRPr="00D42806" w:rsidRDefault="00CC3263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11664</w:t>
            </w:r>
            <w:r w:rsidR="001816A0" w:rsidRPr="00D42806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5E97CC39" w14:textId="7765C4A5" w:rsidR="00430922" w:rsidRPr="00CA1FB3" w:rsidRDefault="00CC3263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58320000</w:t>
            </w:r>
          </w:p>
        </w:tc>
      </w:tr>
    </w:tbl>
    <w:p w14:paraId="2C0E2F90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p w14:paraId="37437E4E" w14:textId="77777777" w:rsidR="00430922" w:rsidRDefault="001816A0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br w:type="page"/>
      </w:r>
    </w:p>
    <w:p w14:paraId="33515742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p w14:paraId="528D43C3" w14:textId="77777777" w:rsidR="00430922" w:rsidRDefault="001816A0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6"/>
        </w:rPr>
        <w:t>Додаток 2</w:t>
      </w:r>
    </w:p>
    <w:p w14:paraId="106D5FF1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14:paraId="4F065AB2" w14:textId="77777777" w:rsidR="00430922" w:rsidRPr="00C0763B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C0763B">
        <w:rPr>
          <w:rFonts w:ascii="Times New Roman" w:hAnsi="Times New Roman"/>
          <w:b/>
          <w:sz w:val="26"/>
        </w:rPr>
        <w:t>БЮДЖЕТНІ ВИТРАТИ</w:t>
      </w:r>
    </w:p>
    <w:p w14:paraId="41D236B4" w14:textId="26A01FFE" w:rsidR="00430922" w:rsidRPr="00C0763B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C0763B">
        <w:rPr>
          <w:rFonts w:ascii="Times New Roman" w:hAnsi="Times New Roman"/>
          <w:b/>
          <w:sz w:val="26"/>
        </w:rPr>
        <w:t>на адміністрування регулювання для суб</w:t>
      </w:r>
      <w:r w:rsidR="004F2D13">
        <w:rPr>
          <w:rFonts w:ascii="Times New Roman" w:hAnsi="Times New Roman"/>
          <w:b/>
          <w:sz w:val="26"/>
        </w:rPr>
        <w:t>’</w:t>
      </w:r>
      <w:r w:rsidRPr="00C0763B">
        <w:rPr>
          <w:rFonts w:ascii="Times New Roman" w:hAnsi="Times New Roman"/>
          <w:b/>
          <w:sz w:val="26"/>
        </w:rPr>
        <w:t>єктів великого і середнього підприємництва</w:t>
      </w:r>
    </w:p>
    <w:p w14:paraId="388981A4" w14:textId="77777777" w:rsidR="00430922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C0763B">
        <w:rPr>
          <w:rFonts w:ascii="Times New Roman" w:hAnsi="Times New Roman"/>
          <w:b/>
          <w:sz w:val="26"/>
        </w:rPr>
        <w:t>Міністерства у справах ветеранів України</w:t>
      </w:r>
    </w:p>
    <w:p w14:paraId="0E3F39C9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3"/>
        <w:gridCol w:w="1289"/>
        <w:gridCol w:w="1628"/>
        <w:gridCol w:w="1436"/>
        <w:gridCol w:w="1769"/>
        <w:gridCol w:w="1877"/>
      </w:tblGrid>
      <w:tr w:rsidR="00430922" w:rsidRPr="00735CCD" w14:paraId="4E005854" w14:textId="77777777" w:rsidTr="00601E6F">
        <w:tc>
          <w:tcPr>
            <w:tcW w:w="0" w:type="auto"/>
            <w:vAlign w:val="center"/>
          </w:tcPr>
          <w:p w14:paraId="2A989941" w14:textId="09954935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регулювання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єктів великого і середнього підприємництва (розрахунок на одного типового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єкта господарювання)</w:t>
            </w:r>
          </w:p>
        </w:tc>
        <w:tc>
          <w:tcPr>
            <w:tcW w:w="0" w:type="auto"/>
            <w:vAlign w:val="center"/>
          </w:tcPr>
          <w:p w14:paraId="3B3C2629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Планові витрати часу на процедуру</w:t>
            </w:r>
          </w:p>
        </w:tc>
        <w:tc>
          <w:tcPr>
            <w:tcW w:w="0" w:type="auto"/>
            <w:vAlign w:val="center"/>
          </w:tcPr>
          <w:p w14:paraId="0D90BAAE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Вартість часу співробітника органу державної влади відповідної категорії (заробітна плата)*</w:t>
            </w:r>
          </w:p>
        </w:tc>
        <w:tc>
          <w:tcPr>
            <w:tcW w:w="0" w:type="auto"/>
            <w:vAlign w:val="center"/>
          </w:tcPr>
          <w:p w14:paraId="04565924" w14:textId="3663A7C0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Оцінка кількості процедур за рік, що припадають на одного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єкта</w:t>
            </w:r>
          </w:p>
        </w:tc>
        <w:tc>
          <w:tcPr>
            <w:tcW w:w="0" w:type="auto"/>
            <w:vAlign w:val="center"/>
          </w:tcPr>
          <w:p w14:paraId="7FA668D4" w14:textId="05208325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Оцінка кількості 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єктів, що підпадають під дію процедури регулювання**</w:t>
            </w:r>
          </w:p>
        </w:tc>
        <w:tc>
          <w:tcPr>
            <w:tcW w:w="0" w:type="auto"/>
            <w:vAlign w:val="center"/>
          </w:tcPr>
          <w:p w14:paraId="2E109A68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Витрати на адміністрування регулювання* (за рік), гривень</w:t>
            </w:r>
          </w:p>
        </w:tc>
      </w:tr>
      <w:tr w:rsidR="00430922" w14:paraId="4FA15581" w14:textId="77777777" w:rsidTr="00601E6F">
        <w:tc>
          <w:tcPr>
            <w:tcW w:w="0" w:type="auto"/>
            <w:vAlign w:val="center"/>
          </w:tcPr>
          <w:p w14:paraId="7E497277" w14:textId="6AFD41A2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Облік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єкта господарювання, що перебуває у сфері регулювання (укладання договору про відшкодування вартості наданих послуг)</w:t>
            </w:r>
          </w:p>
        </w:tc>
        <w:tc>
          <w:tcPr>
            <w:tcW w:w="0" w:type="auto"/>
            <w:vAlign w:val="center"/>
          </w:tcPr>
          <w:p w14:paraId="62B94B45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0" w:type="auto"/>
            <w:vAlign w:val="center"/>
          </w:tcPr>
          <w:p w14:paraId="798982A2" w14:textId="33924CF5" w:rsidR="00430922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0" w:type="auto"/>
            <w:vAlign w:val="center"/>
          </w:tcPr>
          <w:p w14:paraId="2B6588A0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1371AB1" w14:textId="3EF01FDF" w:rsidR="00430922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A07FDD2" w14:textId="1C5EFDA2" w:rsidR="00430922" w:rsidRPr="001D387F" w:rsidRDefault="00C0763B" w:rsidP="00601E6F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0763B">
              <w:rPr>
                <w:rFonts w:ascii="Times New Roman" w:hAnsi="Times New Roman"/>
                <w:sz w:val="24"/>
              </w:rPr>
              <w:t>3015</w:t>
            </w:r>
          </w:p>
        </w:tc>
      </w:tr>
      <w:tr w:rsidR="001D387F" w14:paraId="3917D26A" w14:textId="77777777" w:rsidTr="00601E6F">
        <w:tc>
          <w:tcPr>
            <w:tcW w:w="0" w:type="auto"/>
            <w:vAlign w:val="center"/>
          </w:tcPr>
          <w:p w14:paraId="7B5A0522" w14:textId="79015E84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Поточний контроль за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єктом господарювання, що перебуває у сфері регулювання, у тому числі (щомісячна звітність):</w:t>
            </w:r>
          </w:p>
        </w:tc>
        <w:tc>
          <w:tcPr>
            <w:tcW w:w="0" w:type="auto"/>
            <w:vAlign w:val="center"/>
          </w:tcPr>
          <w:p w14:paraId="4783F04C" w14:textId="66E6CD52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2BA672B2" w14:textId="525EDA48" w:rsidR="001D387F" w:rsidRDefault="00B8163A" w:rsidP="00601E6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2B8ADD66" w14:textId="4D0D78D4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095C5784" w14:textId="12500940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3696250A" w14:textId="7373F94E" w:rsidR="001D387F" w:rsidRPr="001D387F" w:rsidRDefault="00B8163A" w:rsidP="00601E6F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430922" w14:paraId="00A603F3" w14:textId="77777777" w:rsidTr="00601E6F">
        <w:tc>
          <w:tcPr>
            <w:tcW w:w="0" w:type="auto"/>
            <w:vAlign w:val="center"/>
          </w:tcPr>
          <w:p w14:paraId="61F007EB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камеральні</w:t>
            </w:r>
          </w:p>
        </w:tc>
        <w:tc>
          <w:tcPr>
            <w:tcW w:w="0" w:type="auto"/>
            <w:vAlign w:val="center"/>
          </w:tcPr>
          <w:p w14:paraId="506CB34A" w14:textId="253A5DA1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526ED74" w14:textId="2551CB08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1707798" w14:textId="26B67781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02A8F730" w14:textId="1F5DE07D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271F8E62" w14:textId="32A3225E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430922" w14:paraId="7E908F81" w14:textId="77777777" w:rsidTr="00601E6F">
        <w:tc>
          <w:tcPr>
            <w:tcW w:w="0" w:type="auto"/>
            <w:vAlign w:val="center"/>
          </w:tcPr>
          <w:p w14:paraId="7BF22A2F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виїзні</w:t>
            </w:r>
          </w:p>
        </w:tc>
        <w:tc>
          <w:tcPr>
            <w:tcW w:w="0" w:type="auto"/>
            <w:vAlign w:val="center"/>
          </w:tcPr>
          <w:p w14:paraId="14495406" w14:textId="7F94AF65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5C292E70" w14:textId="22ABEC38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32E76ABC" w14:textId="4DBA0DFC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2F68549" w14:textId="1873A35E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6643D4C" w14:textId="1FDA2924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1D387F" w14:paraId="4F388899" w14:textId="77777777" w:rsidTr="00601E6F">
        <w:tc>
          <w:tcPr>
            <w:tcW w:w="0" w:type="auto"/>
            <w:vAlign w:val="center"/>
          </w:tcPr>
          <w:p w14:paraId="0ADE54A8" w14:textId="77777777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Підготовка, затвердження та опрацювання одного окремого акта про </w:t>
            </w:r>
            <w:r>
              <w:rPr>
                <w:rFonts w:ascii="Times New Roman" w:hAnsi="Times New Roman"/>
                <w:sz w:val="24"/>
              </w:rPr>
              <w:lastRenderedPageBreak/>
              <w:t>порушення вимог регулювання</w:t>
            </w:r>
          </w:p>
        </w:tc>
        <w:tc>
          <w:tcPr>
            <w:tcW w:w="0" w:type="auto"/>
            <w:vAlign w:val="center"/>
          </w:tcPr>
          <w:p w14:paraId="0E627033" w14:textId="4AF93511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—</w:t>
            </w:r>
          </w:p>
        </w:tc>
        <w:tc>
          <w:tcPr>
            <w:tcW w:w="0" w:type="auto"/>
            <w:vAlign w:val="center"/>
          </w:tcPr>
          <w:p w14:paraId="71770CB9" w14:textId="1DC3140F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F2FF7E2" w14:textId="7905A1EB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6E45A1D8" w14:textId="710AB248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005EC858" w14:textId="7062558B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1D387F" w14:paraId="6FFA4EB7" w14:textId="77777777" w:rsidTr="00601E6F">
        <w:tc>
          <w:tcPr>
            <w:tcW w:w="0" w:type="auto"/>
            <w:vAlign w:val="center"/>
          </w:tcPr>
          <w:p w14:paraId="46DD2B00" w14:textId="77777777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0" w:type="auto"/>
            <w:vAlign w:val="center"/>
          </w:tcPr>
          <w:p w14:paraId="2DC789ED" w14:textId="38D1B489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5B03044A" w14:textId="25F55AAE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1DC877C2" w14:textId="5542F53B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2EA6FE08" w14:textId="5877F928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576C475B" w14:textId="0FA8C90E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1D387F" w14:paraId="0C419F8E" w14:textId="77777777" w:rsidTr="00601E6F">
        <w:tc>
          <w:tcPr>
            <w:tcW w:w="0" w:type="auto"/>
            <w:vAlign w:val="center"/>
          </w:tcPr>
          <w:p w14:paraId="70AAA875" w14:textId="7A4F6469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Оскарження одного окремого рішення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єктами господарювання</w:t>
            </w:r>
          </w:p>
        </w:tc>
        <w:tc>
          <w:tcPr>
            <w:tcW w:w="0" w:type="auto"/>
            <w:vAlign w:val="center"/>
          </w:tcPr>
          <w:p w14:paraId="5E0D7295" w14:textId="0078F5B4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44F1B57D" w14:textId="54603F28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07CC63D1" w14:textId="0B490680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471DEF84" w14:textId="6F588DDB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627A6355" w14:textId="43195EC4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1D387F" w14:paraId="329F5933" w14:textId="77777777" w:rsidTr="00601E6F">
        <w:tc>
          <w:tcPr>
            <w:tcW w:w="0" w:type="auto"/>
            <w:vAlign w:val="center"/>
          </w:tcPr>
          <w:p w14:paraId="4C92BEBC" w14:textId="77777777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Підготовка звітності за результатами регулювання</w:t>
            </w:r>
          </w:p>
        </w:tc>
        <w:tc>
          <w:tcPr>
            <w:tcW w:w="0" w:type="auto"/>
            <w:vAlign w:val="center"/>
          </w:tcPr>
          <w:p w14:paraId="34AC1C52" w14:textId="103D81B4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w="0" w:type="auto"/>
            <w:vAlign w:val="center"/>
          </w:tcPr>
          <w:p w14:paraId="49C75074" w14:textId="44D78D9D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  <w:tc>
          <w:tcPr>
            <w:tcW w:w="0" w:type="auto"/>
            <w:vAlign w:val="center"/>
          </w:tcPr>
          <w:p w14:paraId="7E6643BC" w14:textId="3EB1926E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4417C15" w14:textId="607F4222" w:rsidR="001D387F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4F4203F9" w14:textId="67B3C281" w:rsidR="001D387F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6030</w:t>
            </w:r>
          </w:p>
        </w:tc>
      </w:tr>
      <w:tr w:rsidR="00430922" w14:paraId="00AF771D" w14:textId="77777777" w:rsidTr="00601E6F">
        <w:tc>
          <w:tcPr>
            <w:tcW w:w="0" w:type="auto"/>
            <w:vAlign w:val="center"/>
          </w:tcPr>
          <w:p w14:paraId="262DC907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Інші адміністративні процедури (уточнити):</w:t>
            </w:r>
          </w:p>
        </w:tc>
        <w:tc>
          <w:tcPr>
            <w:tcW w:w="0" w:type="auto"/>
            <w:vAlign w:val="center"/>
          </w:tcPr>
          <w:p w14:paraId="4585E0AB" w14:textId="484EA4A0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3C08D2C4" w14:textId="21358F34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398A9074" w14:textId="4EE8E664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13D49786" w14:textId="190E5B3B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5DC599F0" w14:textId="52D8C471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430922" w14:paraId="7B666EE7" w14:textId="77777777" w:rsidTr="00601E6F">
        <w:tc>
          <w:tcPr>
            <w:tcW w:w="0" w:type="auto"/>
            <w:vAlign w:val="center"/>
          </w:tcPr>
          <w:p w14:paraId="66794EBA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Разом за рік</w:t>
            </w:r>
          </w:p>
        </w:tc>
        <w:tc>
          <w:tcPr>
            <w:tcW w:w="0" w:type="auto"/>
            <w:vAlign w:val="center"/>
          </w:tcPr>
          <w:p w14:paraId="56CE2271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3D0C2B6F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6EB07C2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51956D6D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C93C12B" w14:textId="76B1CE9C" w:rsidR="00430922" w:rsidRPr="00C0763B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C0763B">
              <w:rPr>
                <w:rFonts w:ascii="Times New Roman" w:hAnsi="Times New Roman"/>
                <w:sz w:val="24"/>
              </w:rPr>
              <w:t>9045</w:t>
            </w:r>
          </w:p>
        </w:tc>
      </w:tr>
      <w:tr w:rsidR="00430922" w14:paraId="1D98AD6D" w14:textId="77777777" w:rsidTr="00601E6F">
        <w:tc>
          <w:tcPr>
            <w:tcW w:w="0" w:type="auto"/>
            <w:vAlign w:val="center"/>
          </w:tcPr>
          <w:p w14:paraId="23B97D7E" w14:textId="781DA95A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Сумарно за п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ять років</w:t>
            </w:r>
          </w:p>
        </w:tc>
        <w:tc>
          <w:tcPr>
            <w:tcW w:w="0" w:type="auto"/>
            <w:vAlign w:val="center"/>
          </w:tcPr>
          <w:p w14:paraId="1E102211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BF7B11A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85224DD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225CF3D9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303A332" w14:textId="5924EA3D" w:rsidR="00430922" w:rsidRPr="00C0763B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C0763B">
              <w:rPr>
                <w:rFonts w:ascii="Times New Roman" w:hAnsi="Times New Roman"/>
                <w:sz w:val="24"/>
              </w:rPr>
              <w:t>45225</w:t>
            </w:r>
          </w:p>
        </w:tc>
      </w:tr>
    </w:tbl>
    <w:p w14:paraId="3EBB00F1" w14:textId="6274335C" w:rsidR="00430922" w:rsidRPr="001D387F" w:rsidRDefault="001D387F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1D387F">
        <w:rPr>
          <w:rFonts w:ascii="Times New Roman" w:hAnsi="Times New Roman"/>
          <w:color w:val="333333"/>
          <w:sz w:val="20"/>
          <w:shd w:val="clear" w:color="auto" w:fill="FFFFFF"/>
        </w:rPr>
        <w:t>* Вартість витрат, пов</w:t>
      </w:r>
      <w:r w:rsidR="004F2D13">
        <w:rPr>
          <w:rFonts w:ascii="Times New Roman" w:hAnsi="Times New Roman"/>
          <w:color w:val="333333"/>
          <w:sz w:val="20"/>
          <w:shd w:val="clear" w:color="auto" w:fill="FFFFFF"/>
        </w:rPr>
        <w:t>’</w:t>
      </w:r>
      <w:r w:rsidRPr="001D387F">
        <w:rPr>
          <w:rFonts w:ascii="Times New Roman" w:hAnsi="Times New Roman"/>
          <w:color w:val="333333"/>
          <w:sz w:val="20"/>
          <w:shd w:val="clear" w:color="auto" w:fill="FFFFFF"/>
        </w:rPr>
        <w:t>язаних з адмініструванням процесу регулювання державними органами, визначається шляхом множення фактичних витрат часу персоналу на заробітну плату спеціаліста відповідної кваліфікації та на кількість суб</w:t>
      </w:r>
      <w:r w:rsidR="004F2D13">
        <w:rPr>
          <w:rFonts w:ascii="Times New Roman" w:hAnsi="Times New Roman"/>
          <w:color w:val="333333"/>
          <w:sz w:val="20"/>
          <w:shd w:val="clear" w:color="auto" w:fill="FFFFFF"/>
        </w:rPr>
        <w:t>’</w:t>
      </w:r>
      <w:r w:rsidRPr="001D387F">
        <w:rPr>
          <w:rFonts w:ascii="Times New Roman" w:hAnsi="Times New Roman"/>
          <w:color w:val="333333"/>
          <w:sz w:val="20"/>
          <w:shd w:val="clear" w:color="auto" w:fill="FFFFFF"/>
        </w:rPr>
        <w:t>єктів, що підпадають під дію процедури регулювання, та на кількість процедур за рік.</w:t>
      </w:r>
    </w:p>
    <w:p w14:paraId="27200554" w14:textId="77777777" w:rsidR="00430922" w:rsidRDefault="001816A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впровадження та виконання вимог регуляторного акта органам виконавчої влади не передбачається додаткового фінансування за рахунок коштів Державного бюджету України. Фінансування витрат здійснюватиметься в межах бюджетних призначень на утримання та провадження діяльності органів виконавчої влади.</w:t>
      </w:r>
    </w:p>
    <w:p w14:paraId="127930F3" w14:textId="5E8AEC7F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14:paraId="129FADCA" w14:textId="77777777" w:rsidR="000E4FFD" w:rsidRDefault="000E4FF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14:paraId="4E578E0D" w14:textId="650E78CA" w:rsidR="00430922" w:rsidRDefault="001816A0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Міністр у справах ветеранів України</w:t>
      </w:r>
      <w:r>
        <w:rPr>
          <w:rFonts w:ascii="Times New Roman" w:hAnsi="Times New Roman"/>
          <w:b/>
          <w:sz w:val="26"/>
        </w:rPr>
        <w:tab/>
      </w:r>
      <w:r w:rsidR="006F2BBC">
        <w:rPr>
          <w:rFonts w:ascii="Times New Roman" w:hAnsi="Times New Roman"/>
          <w:b/>
          <w:sz w:val="26"/>
        </w:rPr>
        <w:tab/>
      </w:r>
      <w:r w:rsidR="00C13A49">
        <w:rPr>
          <w:rFonts w:ascii="Times New Roman" w:hAnsi="Times New Roman"/>
          <w:b/>
          <w:sz w:val="26"/>
        </w:rPr>
        <w:t xml:space="preserve"> </w:t>
      </w:r>
      <w:r w:rsidR="00C13A49">
        <w:rPr>
          <w:rFonts w:ascii="Times New Roman" w:hAnsi="Times New Roman"/>
          <w:b/>
          <w:sz w:val="26"/>
        </w:rPr>
        <w:tab/>
        <w:t>Наталія КАЛМИКОВА</w:t>
      </w:r>
    </w:p>
    <w:sectPr w:rsidR="00430922" w:rsidSect="004F2D13">
      <w:headerReference w:type="default" r:id="rId9"/>
      <w:pgSz w:w="12240" w:h="15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7785" w14:textId="77777777" w:rsidR="001A3831" w:rsidRDefault="001A3831" w:rsidP="004F2D13">
      <w:pPr>
        <w:spacing w:after="0" w:line="240" w:lineRule="auto"/>
      </w:pPr>
      <w:r>
        <w:separator/>
      </w:r>
    </w:p>
  </w:endnote>
  <w:endnote w:type="continuationSeparator" w:id="0">
    <w:p w14:paraId="1A5F2172" w14:textId="77777777" w:rsidR="001A3831" w:rsidRDefault="001A3831" w:rsidP="004F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74A9" w14:textId="77777777" w:rsidR="001A3831" w:rsidRDefault="001A3831" w:rsidP="004F2D13">
      <w:pPr>
        <w:spacing w:after="0" w:line="240" w:lineRule="auto"/>
      </w:pPr>
      <w:r>
        <w:separator/>
      </w:r>
    </w:p>
  </w:footnote>
  <w:footnote w:type="continuationSeparator" w:id="0">
    <w:p w14:paraId="17940FFC" w14:textId="77777777" w:rsidR="001A3831" w:rsidRDefault="001A3831" w:rsidP="004F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4801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9590693" w14:textId="025862B6" w:rsidR="004F2D13" w:rsidRPr="004F2D13" w:rsidRDefault="004F2D13">
        <w:pPr>
          <w:pStyle w:val="a9"/>
          <w:jc w:val="center"/>
          <w:rPr>
            <w:rFonts w:ascii="Times New Roman" w:hAnsi="Times New Roman"/>
          </w:rPr>
        </w:pPr>
        <w:r w:rsidRPr="004F2D13">
          <w:rPr>
            <w:rFonts w:ascii="Times New Roman" w:hAnsi="Times New Roman"/>
          </w:rPr>
          <w:fldChar w:fldCharType="begin"/>
        </w:r>
        <w:r w:rsidRPr="004F2D13">
          <w:rPr>
            <w:rFonts w:ascii="Times New Roman" w:hAnsi="Times New Roman"/>
          </w:rPr>
          <w:instrText>PAGE   \* MERGEFORMAT</w:instrText>
        </w:r>
        <w:r w:rsidRPr="004F2D13">
          <w:rPr>
            <w:rFonts w:ascii="Times New Roman" w:hAnsi="Times New Roman"/>
          </w:rPr>
          <w:fldChar w:fldCharType="separate"/>
        </w:r>
        <w:r w:rsidRPr="004F2D13">
          <w:rPr>
            <w:rFonts w:ascii="Times New Roman" w:hAnsi="Times New Roman"/>
          </w:rPr>
          <w:t>2</w:t>
        </w:r>
        <w:r w:rsidRPr="004F2D13">
          <w:rPr>
            <w:rFonts w:ascii="Times New Roman" w:hAnsi="Times New Roman"/>
          </w:rPr>
          <w:fldChar w:fldCharType="end"/>
        </w:r>
      </w:p>
    </w:sdtContent>
  </w:sdt>
  <w:p w14:paraId="1234F18A" w14:textId="77777777" w:rsidR="004F2D13" w:rsidRDefault="004F2D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AF"/>
    <w:multiLevelType w:val="hybridMultilevel"/>
    <w:tmpl w:val="B066B666"/>
    <w:lvl w:ilvl="0" w:tplc="976232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500519"/>
    <w:multiLevelType w:val="hybridMultilevel"/>
    <w:tmpl w:val="F4B4458C"/>
    <w:lvl w:ilvl="0" w:tplc="29DA0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9F6553"/>
    <w:multiLevelType w:val="hybridMultilevel"/>
    <w:tmpl w:val="733081FC"/>
    <w:lvl w:ilvl="0" w:tplc="3F3086C4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22"/>
    <w:rsid w:val="00015492"/>
    <w:rsid w:val="00050BB3"/>
    <w:rsid w:val="000E4FFD"/>
    <w:rsid w:val="001203FD"/>
    <w:rsid w:val="00135490"/>
    <w:rsid w:val="001532AF"/>
    <w:rsid w:val="001711D9"/>
    <w:rsid w:val="00173195"/>
    <w:rsid w:val="001816A0"/>
    <w:rsid w:val="001A3831"/>
    <w:rsid w:val="001B1B11"/>
    <w:rsid w:val="001C219A"/>
    <w:rsid w:val="001D387F"/>
    <w:rsid w:val="002123C3"/>
    <w:rsid w:val="00235D7C"/>
    <w:rsid w:val="002A0B7D"/>
    <w:rsid w:val="002C09F4"/>
    <w:rsid w:val="002C67B1"/>
    <w:rsid w:val="002C7C91"/>
    <w:rsid w:val="00321614"/>
    <w:rsid w:val="0033304B"/>
    <w:rsid w:val="00393C2B"/>
    <w:rsid w:val="003A0BAB"/>
    <w:rsid w:val="003B5DE4"/>
    <w:rsid w:val="00410DDB"/>
    <w:rsid w:val="00430922"/>
    <w:rsid w:val="00485F1C"/>
    <w:rsid w:val="004A7812"/>
    <w:rsid w:val="004C096D"/>
    <w:rsid w:val="004F2D13"/>
    <w:rsid w:val="004F33B8"/>
    <w:rsid w:val="00515EF4"/>
    <w:rsid w:val="005475ED"/>
    <w:rsid w:val="005632E6"/>
    <w:rsid w:val="0058002C"/>
    <w:rsid w:val="00601E6F"/>
    <w:rsid w:val="006056FC"/>
    <w:rsid w:val="00657AA0"/>
    <w:rsid w:val="006A577C"/>
    <w:rsid w:val="006F2BBC"/>
    <w:rsid w:val="006F6BA6"/>
    <w:rsid w:val="00705C5E"/>
    <w:rsid w:val="00707E09"/>
    <w:rsid w:val="00735CCD"/>
    <w:rsid w:val="00750707"/>
    <w:rsid w:val="007552BE"/>
    <w:rsid w:val="007B72F9"/>
    <w:rsid w:val="007F0939"/>
    <w:rsid w:val="007F343C"/>
    <w:rsid w:val="008650D8"/>
    <w:rsid w:val="008C1928"/>
    <w:rsid w:val="008D4DB4"/>
    <w:rsid w:val="008E0E66"/>
    <w:rsid w:val="00916E8E"/>
    <w:rsid w:val="0092030E"/>
    <w:rsid w:val="00943F83"/>
    <w:rsid w:val="009D1562"/>
    <w:rsid w:val="00AC5361"/>
    <w:rsid w:val="00AE0912"/>
    <w:rsid w:val="00B119F7"/>
    <w:rsid w:val="00B53A79"/>
    <w:rsid w:val="00B8163A"/>
    <w:rsid w:val="00B91052"/>
    <w:rsid w:val="00BC51A8"/>
    <w:rsid w:val="00BD58DA"/>
    <w:rsid w:val="00C0763B"/>
    <w:rsid w:val="00C13A49"/>
    <w:rsid w:val="00C5319D"/>
    <w:rsid w:val="00C57B90"/>
    <w:rsid w:val="00C800CF"/>
    <w:rsid w:val="00CA1FB3"/>
    <w:rsid w:val="00CC3263"/>
    <w:rsid w:val="00CE1D55"/>
    <w:rsid w:val="00D3426F"/>
    <w:rsid w:val="00D42806"/>
    <w:rsid w:val="00DC6E03"/>
    <w:rsid w:val="00DD4B34"/>
    <w:rsid w:val="00DE7C57"/>
    <w:rsid w:val="00E40020"/>
    <w:rsid w:val="00E84AA5"/>
    <w:rsid w:val="00F37BBC"/>
    <w:rsid w:val="00FC31C1"/>
    <w:rsid w:val="00FC4F28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092F"/>
  <w15:docId w15:val="{74F16CE0-C29C-448A-BE5C-2E44C855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">
    <w:name w:val="Обычный2"/>
    <w:qFormat/>
    <w:pPr>
      <w:pBdr>
        <w:top w:val="nil"/>
        <w:left w:val="nil"/>
        <w:bottom w:val="nil"/>
        <w:right w:val="nil"/>
      </w:pBdr>
      <w:spacing w:after="0" w:line="100" w:lineRule="atLeast"/>
    </w:pPr>
    <w:rPr>
      <w:rFonts w:ascii="Times New Roman" w:hAnsi="Times New Roman"/>
      <w:lang w:val="ru-RU"/>
    </w:rPr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hAnsi="Times New Roman"/>
      <w:sz w:val="28"/>
      <w:lang w:val="ru-RU"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10">
    <w:name w:val="Шрифт абзацу за замовчуванням1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705C5E"/>
    <w:pPr>
      <w:keepNext/>
      <w:keepLines/>
      <w:spacing w:before="480" w:after="120"/>
    </w:pPr>
    <w:rPr>
      <w:rFonts w:eastAsia="Calibri" w:cs="Calibri"/>
      <w:b/>
      <w:sz w:val="72"/>
      <w:szCs w:val="72"/>
      <w:lang w:eastAsia="uk-UA"/>
    </w:rPr>
  </w:style>
  <w:style w:type="character" w:customStyle="1" w:styleId="a8">
    <w:name w:val="Назва Знак"/>
    <w:basedOn w:val="a0"/>
    <w:link w:val="a7"/>
    <w:uiPriority w:val="10"/>
    <w:rsid w:val="00705C5E"/>
    <w:rPr>
      <w:rFonts w:eastAsia="Calibri" w:cs="Calibri"/>
      <w:b/>
      <w:sz w:val="72"/>
      <w:szCs w:val="72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F2D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F2D13"/>
    <w:rPr>
      <w:lang w:val="uk-UA"/>
    </w:rPr>
  </w:style>
  <w:style w:type="paragraph" w:styleId="ab">
    <w:name w:val="footer"/>
    <w:basedOn w:val="a"/>
    <w:link w:val="ac"/>
    <w:uiPriority w:val="99"/>
    <w:unhideWhenUsed/>
    <w:rsid w:val="004F2D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F2D13"/>
    <w:rPr>
      <w:lang w:val="uk-UA"/>
    </w:rPr>
  </w:style>
  <w:style w:type="character" w:styleId="ad">
    <w:name w:val="Unresolved Mention"/>
    <w:basedOn w:val="a0"/>
    <w:uiPriority w:val="99"/>
    <w:semiHidden/>
    <w:unhideWhenUsed/>
    <w:rsid w:val="004C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01285?ed=2020_12_16&amp;an=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kp201285?ed=2020_12_16&amp;an=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18697</Words>
  <Characters>10658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Пристрома Євген Вікторович</cp:lastModifiedBy>
  <cp:revision>17</cp:revision>
  <dcterms:created xsi:type="dcterms:W3CDTF">2025-07-04T13:49:00Z</dcterms:created>
  <dcterms:modified xsi:type="dcterms:W3CDTF">2025-08-22T08:56:00Z</dcterms:modified>
</cp:coreProperties>
</file>