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tabs>
          <w:tab w:val="left" w:pos="3544" w:leader="none"/>
        </w:tabs>
        <w:spacing w:lineRule="auto" w:line="240" w:after="0" w:beforeAutospacing="0" w:afterAutospacing="0"/>
        <w:jc w:val="center"/>
        <w:rPr>
          <w:rFonts w:ascii="Times New Roman" w:hAnsi="Times New Roman"/>
          <w:b w:val="1"/>
          <w:bCs w:val="1"/>
          <w:color w:val="000000"/>
          <w:sz w:val="28"/>
          <w:szCs w:val="28"/>
          <w:lang w:eastAsia="ru-RU"/>
        </w:rPr>
      </w:pPr>
      <w:r>
        <w:rPr>
          <w:rFonts w:ascii="Times New Roman" w:hAnsi="Times New Roman"/>
          <w:b w:val="1"/>
          <w:bCs w:val="1"/>
          <w:color w:val="000000"/>
          <w:sz w:val="28"/>
          <w:szCs w:val="28"/>
          <w:lang w:eastAsia="ru-RU"/>
        </w:rPr>
        <w:t>ПОЯСНЮВАЛЬНА ЗАПИСКА</w:t>
      </w:r>
    </w:p>
    <w:p>
      <w:pPr>
        <w:spacing w:lineRule="auto" w:line="240" w:after="0" w:beforeAutospacing="0" w:afterAutospacing="0"/>
        <w:jc w:val="center"/>
        <w:rPr>
          <w:rFonts w:ascii="Times New Roman" w:hAnsi="Times New Roman"/>
          <w:b w:val="1"/>
          <w:bCs w:val="1"/>
          <w:color w:val="000000" w:themeColor="text1"/>
          <w:sz w:val="28"/>
          <w:szCs w:val="28"/>
          <w:lang w:eastAsia="ru-RU"/>
        </w:rPr>
      </w:pPr>
      <w:r>
        <w:rPr>
          <w:rFonts w:ascii="Times New Roman" w:hAnsi="Times New Roman"/>
          <w:b w:val="1"/>
          <w:bCs w:val="1"/>
          <w:color w:val="000000" w:themeColor="text1"/>
          <w:sz w:val="28"/>
          <w:szCs w:val="28"/>
          <w:lang w:eastAsia="ru-RU"/>
        </w:rPr>
        <w:t xml:space="preserve">до </w:t>
      </w:r>
      <w:bookmarkStart w:id="0" w:name="_Hlk176339930"/>
      <w:r>
        <w:rPr>
          <w:rFonts w:ascii="Times New Roman" w:hAnsi="Times New Roman"/>
          <w:b w:val="1"/>
          <w:bCs w:val="1"/>
          <w:color w:val="000000" w:themeColor="text1"/>
          <w:sz w:val="28"/>
          <w:szCs w:val="28"/>
          <w:lang w:eastAsia="ru-RU"/>
        </w:rPr>
        <w:t>проекту постанови Кабінету Міністрів України</w:t>
      </w:r>
    </w:p>
    <w:p>
      <w:pPr>
        <w:spacing w:lineRule="auto" w:line="240" w:after="0" w:beforeAutospacing="0" w:afterAutospacing="0"/>
        <w:jc w:val="center"/>
        <w:rPr>
          <w:rFonts w:ascii="Times New Roman" w:hAnsi="Times New Roman"/>
          <w:b w:val="1"/>
          <w:bCs w:val="1"/>
          <w:color w:val="000000" w:themeColor="text1"/>
          <w:sz w:val="28"/>
          <w:szCs w:val="28"/>
        </w:rPr>
      </w:pPr>
      <w:r>
        <w:rPr>
          <w:rFonts w:ascii="Times New Roman" w:hAnsi="Times New Roman"/>
          <w:b w:val="1"/>
          <w:bCs w:val="1"/>
          <w:color w:val="000000" w:themeColor="text1"/>
          <w:sz w:val="28"/>
          <w:szCs w:val="28"/>
        </w:rPr>
        <w:t>“Деякі питання створення та забезпечення</w:t>
        <w:br w:type="textWrapping"/>
        <w:t>функціонування мережі ветеранських просторів”</w:t>
      </w:r>
    </w:p>
    <w:p>
      <w:pPr>
        <w:spacing w:lineRule="auto" w:line="240" w:after="0" w:beforeAutospacing="0" w:afterAutospacing="0"/>
        <w:jc w:val="center"/>
        <w:rPr>
          <w:rFonts w:ascii="Times New Roman" w:hAnsi="Times New Roman"/>
          <w:b w:val="1"/>
          <w:bCs w:val="1"/>
          <w:color w:val="FF0000"/>
          <w:sz w:val="28"/>
          <w:szCs w:val="28"/>
        </w:rPr>
      </w:pPr>
      <w:bookmarkEnd w:id="0"/>
    </w:p>
    <w:p>
      <w:pPr>
        <w:spacing w:lineRule="auto" w:line="240" w:after="0" w:beforeAutospacing="0" w:afterAutospacing="0"/>
        <w:ind w:firstLine="567"/>
        <w:jc w:val="both"/>
        <w:rPr>
          <w:rFonts w:ascii="Times New Roman" w:hAnsi="Times New Roman"/>
          <w:b w:val="1"/>
          <w:color w:val="000000" w:themeColor="text1"/>
          <w:sz w:val="28"/>
          <w:szCs w:val="28"/>
        </w:rPr>
      </w:pPr>
      <w:r>
        <w:rPr>
          <w:rFonts w:ascii="Times New Roman" w:hAnsi="Times New Roman"/>
          <w:b w:val="1"/>
          <w:color w:val="000000" w:themeColor="text1"/>
          <w:sz w:val="28"/>
          <w:szCs w:val="28"/>
        </w:rPr>
        <w:t>1. Мета</w:t>
      </w:r>
    </w:p>
    <w:p>
      <w:pPr>
        <w:spacing w:lineRule="auto" w:line="240" w:after="0" w:beforeAutospacing="0" w:afterAutospacing="0"/>
        <w:ind w:firstLine="567"/>
        <w:jc w:val="both"/>
        <w:rPr>
          <w:rFonts w:ascii="Times New Roman" w:hAnsi="Times New Roman"/>
          <w:color w:val="000000" w:themeColor="text1"/>
          <w:sz w:val="28"/>
          <w:szCs w:val="28"/>
        </w:rPr>
      </w:pPr>
      <w:r>
        <w:rPr>
          <w:rFonts w:ascii="Times New Roman" w:hAnsi="Times New Roman"/>
          <w:smallCaps w:val="0"/>
          <w:color w:val="000000" w:themeColor="dark1"/>
          <w:sz w:val="28"/>
          <w:szCs w:val="22"/>
          <w:cs w:val="0"/>
          <w:spacing w:val="0"/>
          <w:w w:val="100"/>
          <w:position w:val="0"/>
          <w:snapToGrid w:val="1"/>
        </w:rPr>
        <w:t>Уно</w:t>
      </w:r>
      <w:r>
        <w:rPr>
          <w:rFonts w:ascii="Times New Roman" w:hAnsi="Times New Roman"/>
          <w:smallCaps w:val="0"/>
          <w:color w:val="000000" w:themeColor="dark1"/>
          <w:sz w:val="28"/>
          <w:szCs w:val="22"/>
          <w:cs w:val="0"/>
          <w:spacing w:val="0"/>
          <w:w w:val="100"/>
          <w:position w:val="0"/>
          <w:snapToGrid w:val="1"/>
        </w:rPr>
        <w:t>рмувати питання</w:t>
      </w:r>
      <w:r>
        <w:rPr>
          <w:rFonts w:ascii="Times New Roman" w:hAnsi="Times New Roman"/>
          <w:smallCaps w:val="0"/>
          <w:color w:val="000000" w:themeColor="dark1"/>
          <w:sz w:val="28"/>
          <w:szCs w:val="22"/>
          <w:cs w:val="0"/>
          <w:spacing w:val="0"/>
          <w:w w:val="100"/>
          <w:position w:val="0"/>
          <w:snapToGrid w:val="1"/>
        </w:rPr>
        <w:t xml:space="preserve"> на законодавчому рівні </w:t>
      </w:r>
      <w:r>
        <w:rPr>
          <w:rFonts w:ascii="Times New Roman" w:hAnsi="Times New Roman"/>
          <w:smallCaps w:val="0"/>
          <w:color w:val="000000" w:themeColor="dark1"/>
          <w:sz w:val="28"/>
          <w:szCs w:val="22"/>
          <w:cs w:val="0"/>
          <w:spacing w:val="0"/>
          <w:w w:val="100"/>
          <w:position w:val="0"/>
          <w:snapToGrid w:val="1"/>
        </w:rPr>
        <w:t>стос</w:t>
      </w:r>
      <w:r>
        <w:rPr>
          <w:rFonts w:ascii="Times New Roman" w:hAnsi="Times New Roman"/>
          <w:smallCaps w:val="0"/>
          <w:color w:val="000000" w:themeColor="dark1"/>
          <w:sz w:val="28"/>
          <w:szCs w:val="22"/>
          <w:cs w:val="0"/>
          <w:spacing w:val="0"/>
          <w:w w:val="100"/>
          <w:position w:val="0"/>
          <w:snapToGrid w:val="1"/>
        </w:rPr>
        <w:t>овно</w:t>
      </w:r>
      <w:r>
        <w:rPr>
          <w:rFonts w:ascii="Times New Roman" w:hAnsi="Times New Roman"/>
          <w:smallCaps w:val="0"/>
          <w:color w:val="000000" w:themeColor="dark1"/>
          <w:sz w:val="28"/>
          <w:szCs w:val="22"/>
          <w:cs w:val="0"/>
          <w:spacing w:val="0"/>
          <w:w w:val="100"/>
          <w:position w:val="0"/>
          <w:snapToGrid w:val="1"/>
        </w:rPr>
        <w:t xml:space="preserve"> </w:t>
      </w:r>
      <w:r>
        <w:rPr>
          <w:rFonts w:ascii="Times New Roman" w:hAnsi="Times New Roman"/>
          <w:color w:val="000000" w:themeColor="text1"/>
          <w:sz w:val="28"/>
          <w:szCs w:val="28"/>
        </w:rPr>
        <w:t xml:space="preserve">реалізації експериментального проекту щодо створення та забезпечення функціонування на території України мережі ветеранських просторів, шляхом розбудови державних ветеранських просторів та інтеграції в єдину мережу недержавних ветеранських просторів, які діятимуть у вигляді багатофункціональних закладів, </w:t>
      </w:r>
      <w:bookmarkStart w:id="1" w:name="_Hlk176347630"/>
      <w:r>
        <w:rPr>
          <w:rFonts w:ascii="Times New Roman" w:hAnsi="Times New Roman"/>
          <w:color w:val="000000" w:themeColor="text1"/>
          <w:sz w:val="28"/>
          <w:szCs w:val="28"/>
        </w:rPr>
        <w:t>метою діяльності яких є підтримка та реінтеграція ветеранів війни</w:t>
      </w:r>
      <w:bookmarkEnd w:id="1"/>
      <w:r>
        <w:rPr>
          <w:rFonts w:ascii="Times New Roman" w:hAnsi="Times New Roman"/>
          <w:color w:val="000000" w:themeColor="text1"/>
          <w:sz w:val="28"/>
          <w:szCs w:val="28"/>
        </w:rPr>
        <w:t>, шляхом надання їм та членам їх сімей, членам сімей загиблих (померлих) ветеранів війни і членам сімей загиблих (померлих) Захисників і Захисниць України можливості отримання допомоги та підтримки з широкого кола питань в одному місці.</w:t>
      </w:r>
    </w:p>
    <w:p>
      <w:pPr>
        <w:spacing w:lineRule="auto" w:line="240" w:after="0" w:beforeAutospacing="0" w:afterAutospacing="0"/>
        <w:jc w:val="center"/>
        <w:rPr>
          <w:rFonts w:ascii="Times New Roman" w:hAnsi="Times New Roman"/>
          <w:color w:val="000000" w:themeColor="text1"/>
          <w:sz w:val="28"/>
          <w:szCs w:val="28"/>
          <w:lang w:eastAsia="ru-RU"/>
        </w:rPr>
      </w:pPr>
    </w:p>
    <w:p>
      <w:pPr>
        <w:shd w:val="clear" w:fill="FFFFFF"/>
        <w:spacing w:lineRule="auto" w:line="240" w:after="0" w:beforeAutospacing="0" w:afterAutospacing="0"/>
        <w:ind w:firstLine="567"/>
        <w:jc w:val="both"/>
        <w:rPr>
          <w:rFonts w:ascii="Times New Roman" w:hAnsi="Times New Roman"/>
          <w:b w:val="1"/>
          <w:bCs w:val="1"/>
          <w:color w:val="000000" w:themeColor="text1"/>
          <w:sz w:val="28"/>
          <w:szCs w:val="28"/>
          <w:lang w:eastAsia="ru-RU"/>
        </w:rPr>
      </w:pPr>
      <w:r>
        <w:rPr>
          <w:rFonts w:ascii="Times New Roman" w:hAnsi="Times New Roman"/>
          <w:b w:val="1"/>
          <w:bCs w:val="1"/>
          <w:color w:val="000000" w:themeColor="text1"/>
          <w:sz w:val="28"/>
          <w:szCs w:val="28"/>
          <w:lang w:eastAsia="ru-RU"/>
        </w:rPr>
        <w:t>2. Обґрунтування необхідності прийняття акта</w:t>
      </w:r>
    </w:p>
    <w:p>
      <w:pPr>
        <w:shd w:val="clear" w:fill="FFFFFF"/>
        <w:spacing w:lineRule="auto" w:line="240" w:after="0" w:beforeAutospacing="0" w:afterAutospacing="0"/>
        <w:ind w:firstLine="567"/>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Проект акта розроблено</w:t>
      </w:r>
      <w:r>
        <w:rPr>
          <w:rFonts w:ascii="Times New Roman" w:hAnsi="Times New Roman"/>
          <w:color w:val="000000" w:themeColor="text1"/>
          <w:sz w:val="28"/>
          <w:szCs w:val="28"/>
          <w:lang w:eastAsia="ar-SA"/>
        </w:rPr>
        <w:t xml:space="preserve"> </w:t>
      </w:r>
      <w:r>
        <w:rPr>
          <w:rFonts w:ascii="Times New Roman" w:hAnsi="Times New Roman"/>
          <w:bCs w:val="1"/>
          <w:color w:val="000000" w:themeColor="text1"/>
          <w:sz w:val="28"/>
          <w:szCs w:val="28"/>
          <w:lang w:eastAsia="ru-RU"/>
        </w:rPr>
        <w:t xml:space="preserve">на виконання доручення Прем’єр-міністра України Шмигаля Д. А. від 28.08.2024 </w:t>
      </w:r>
      <w:bookmarkStart w:id="2" w:name="_Hlk176954707"/>
      <w:r>
        <w:rPr>
          <w:rFonts w:ascii="Times New Roman" w:hAnsi="Times New Roman"/>
          <w:bCs w:val="1"/>
          <w:color w:val="000000" w:themeColor="text1"/>
          <w:sz w:val="28"/>
          <w:szCs w:val="28"/>
          <w:lang w:eastAsia="ru-RU"/>
        </w:rPr>
        <w:t xml:space="preserve">№ 27565/1/1-24 </w:t>
      </w:r>
      <w:bookmarkEnd w:id="2"/>
      <w:r>
        <w:rPr>
          <w:rFonts w:ascii="Times New Roman" w:hAnsi="Times New Roman"/>
          <w:bCs w:val="1"/>
          <w:color w:val="000000" w:themeColor="text1"/>
          <w:sz w:val="28"/>
          <w:szCs w:val="28"/>
          <w:lang w:eastAsia="ru-RU"/>
        </w:rPr>
        <w:t xml:space="preserve">щодо забезпечення виконання положень Указу Президента України від 22.08.2024 № 512/2024 “Про невідкладні заходи щодо підтримки ветеранів війни, членів їх сімей, членів сімей загиблих (померлих) ветеранів війни, членів сімей загиблих (померлих) Захисників і Захисниць України” згідно з Планом організації підготовки проектів актів та виконання інших завдань, необхідних для його реалізації на виконання </w:t>
      </w:r>
      <w:bookmarkStart w:id="3" w:name="_Hlk176339847"/>
      <w:r>
        <w:rPr>
          <w:rFonts w:ascii="Times New Roman" w:hAnsi="Times New Roman"/>
          <w:bCs w:val="1"/>
          <w:color w:val="000000" w:themeColor="text1"/>
          <w:sz w:val="28"/>
          <w:szCs w:val="28"/>
          <w:lang w:eastAsia="ru-RU"/>
        </w:rPr>
        <w:t xml:space="preserve">підпункту 1.3 пункту 1 доручення Прем’єр-міністра від 28.08.2024 </w:t>
      </w:r>
      <w:r>
        <w:rPr>
          <w:rFonts w:ascii="Times New Roman" w:hAnsi="Times New Roman"/>
          <w:bCs w:val="1"/>
          <w:color w:val="000000" w:themeColor="text1"/>
          <w:sz w:val="28"/>
          <w:szCs w:val="28"/>
          <w:lang w:eastAsia="ru-RU"/>
        </w:rPr>
        <w:br w:type="textWrapping"/>
        <w:t>№ 27565/1/1-24, до підпункту 2 пункту 1 Указу Президента “Про невідкладні заходи щодо підтримки ветеранів війни, членів їх сімей, членів сімей загиблих (померлих) ветеранів війни, членів сімей загиблих (померлих) Захисників</w:t>
      </w:r>
      <w:r>
        <w:rPr>
          <w:rFonts w:ascii="Times New Roman" w:hAnsi="Times New Roman"/>
          <w:bCs w:val="0"/>
          <w:smallCaps w:val="0"/>
          <w:color w:val="000000" w:themeColor="dark1"/>
          <w:sz w:val="28"/>
          <w:szCs w:val="22"/>
          <w:cs w:val="0"/>
          <w:spacing w:val="0"/>
          <w:w w:val="100"/>
          <w:position w:val="0"/>
          <w:snapToGrid w:val="1"/>
          <w:lang w:eastAsia="ru-RU"/>
        </w:rPr>
        <w:br w:type="textWrapping"/>
      </w:r>
      <w:r>
        <w:rPr>
          <w:rFonts w:ascii="Times New Roman" w:hAnsi="Times New Roman"/>
          <w:bCs w:val="1"/>
          <w:color w:val="000000" w:themeColor="text1"/>
          <w:sz w:val="28"/>
          <w:szCs w:val="28"/>
          <w:lang w:eastAsia="ru-RU"/>
        </w:rPr>
        <w:t>і</w:t>
      </w:r>
      <w:r>
        <w:rPr>
          <w:rFonts w:ascii="Times New Roman" w:hAnsi="Times New Roman"/>
          <w:bCs w:val="0"/>
          <w:smallCaps w:val="0"/>
          <w:color w:val="000000" w:themeColor="dark1"/>
          <w:sz w:val="28"/>
          <w:szCs w:val="22"/>
          <w:cs w:val="0"/>
          <w:spacing w:val="0"/>
          <w:w w:val="100"/>
          <w:position w:val="0"/>
          <w:snapToGrid w:val="1"/>
          <w:lang w:eastAsia="ru-RU"/>
        </w:rPr>
        <w:t xml:space="preserve"> </w:t>
      </w:r>
      <w:r>
        <w:rPr>
          <w:rFonts w:ascii="Times New Roman" w:hAnsi="Times New Roman"/>
          <w:bCs w:val="1"/>
          <w:color w:val="000000" w:themeColor="text1"/>
          <w:sz w:val="28"/>
          <w:szCs w:val="28"/>
          <w:lang w:eastAsia="ru-RU"/>
        </w:rPr>
        <w:t>Захисниць України” від 22</w:t>
      </w:r>
      <w:r>
        <w:rPr>
          <w:rFonts w:ascii="Times New Roman" w:hAnsi="Times New Roman"/>
          <w:bCs w:val="0"/>
          <w:smallCaps w:val="0"/>
          <w:color w:val="000000" w:themeColor="dark1"/>
          <w:sz w:val="28"/>
          <w:szCs w:val="22"/>
          <w:cs w:val="0"/>
          <w:spacing w:val="0"/>
          <w:w w:val="100"/>
          <w:position w:val="0"/>
          <w:snapToGrid w:val="1"/>
          <w:lang w:eastAsia="ru-RU"/>
        </w:rPr>
        <w:t>.08.</w:t>
      </w:r>
      <w:r>
        <w:rPr>
          <w:rFonts w:ascii="Times New Roman" w:hAnsi="Times New Roman"/>
          <w:bCs w:val="1"/>
          <w:color w:val="000000" w:themeColor="text1"/>
          <w:sz w:val="28"/>
          <w:szCs w:val="28"/>
          <w:lang w:eastAsia="ru-RU"/>
        </w:rPr>
        <w:t>2024</w:t>
      </w:r>
      <w:r>
        <w:rPr>
          <w:rFonts w:ascii="Times New Roman" w:hAnsi="Times New Roman"/>
          <w:bCs w:val="0"/>
          <w:smallCaps w:val="0"/>
          <w:color w:val="000000" w:themeColor="dark1"/>
          <w:sz w:val="28"/>
          <w:szCs w:val="22"/>
          <w:cs w:val="0"/>
          <w:spacing w:val="0"/>
          <w:w w:val="100"/>
          <w:position w:val="0"/>
          <w:snapToGrid w:val="1"/>
          <w:lang w:eastAsia="ru-RU"/>
        </w:rPr>
        <w:t xml:space="preserve"> </w:t>
      </w:r>
      <w:r>
        <w:rPr>
          <w:rFonts w:ascii="Times New Roman" w:hAnsi="Times New Roman"/>
          <w:bCs w:val="1"/>
          <w:color w:val="000000" w:themeColor="text1"/>
          <w:sz w:val="28"/>
          <w:szCs w:val="28"/>
          <w:lang w:eastAsia="ru-RU"/>
        </w:rPr>
        <w:t>№ 512/2024 в частині необхідності удосконалення нормативно-правового регулювання діяльності ветеранських просторів</w:t>
      </w:r>
      <w:bookmarkEnd w:id="3"/>
      <w:r>
        <w:rPr>
          <w:rFonts w:ascii="Times New Roman" w:hAnsi="Times New Roman"/>
          <w:bCs w:val="1"/>
          <w:color w:val="000000" w:themeColor="text1"/>
          <w:sz w:val="28"/>
          <w:szCs w:val="28"/>
          <w:lang w:eastAsia="ru-RU"/>
        </w:rPr>
        <w:t>.</w:t>
      </w:r>
    </w:p>
    <w:p>
      <w:pPr>
        <w:shd w:val="clear" w:fill="FFFFFF"/>
        <w:spacing w:lineRule="auto" w:line="240" w:after="0" w:beforeAutospacing="0" w:afterAutospacing="0"/>
        <w:jc w:val="both"/>
        <w:rPr>
          <w:rFonts w:ascii="Times New Roman" w:hAnsi="Times New Roman"/>
          <w:b w:val="1"/>
          <w:bCs w:val="1"/>
          <w:color w:val="FF0000"/>
          <w:sz w:val="28"/>
          <w:szCs w:val="28"/>
          <w:lang w:eastAsia="ru-RU"/>
        </w:rPr>
      </w:pPr>
    </w:p>
    <w:p>
      <w:pPr>
        <w:shd w:val="clear" w:fill="FFFFFF"/>
        <w:spacing w:lineRule="auto" w:line="240" w:after="0" w:beforeAutospacing="0" w:afterAutospacing="0"/>
        <w:ind w:firstLine="567"/>
        <w:jc w:val="both"/>
        <w:rPr>
          <w:rFonts w:ascii="Times New Roman" w:hAnsi="Times New Roman"/>
          <w:b w:val="1"/>
          <w:bCs w:val="1"/>
          <w:color w:val="000000" w:themeColor="text1"/>
          <w:sz w:val="28"/>
          <w:szCs w:val="28"/>
          <w:lang w:eastAsia="ru-RU"/>
        </w:rPr>
      </w:pPr>
      <w:r>
        <w:rPr>
          <w:rFonts w:ascii="Times New Roman" w:hAnsi="Times New Roman"/>
          <w:b w:val="1"/>
          <w:bCs w:val="1"/>
          <w:color w:val="000000" w:themeColor="text1"/>
          <w:sz w:val="28"/>
          <w:szCs w:val="28"/>
          <w:lang w:eastAsia="ru-RU"/>
        </w:rPr>
        <w:t>3. Основні положення проекту акта</w:t>
      </w:r>
    </w:p>
    <w:p>
      <w:pPr>
        <w:shd w:val="clear" w:fill="FFFFFF"/>
        <w:spacing w:lineRule="auto" w:line="240" w:after="0" w:beforeAutospacing="0" w:afterAutospacing="0"/>
        <w:ind w:firstLine="567"/>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З метою визначення єдиного підходу до організації роботи з підтримки ветеранів, проектом акта передбачається реалізувати протягом двох років з дня набрання чинності постановою експериментального проекту щодо</w:t>
      </w:r>
      <w:r>
        <w:rPr>
          <w:color w:val="000000" w:themeColor="text1"/>
        </w:rPr>
        <w:t xml:space="preserve"> </w:t>
      </w:r>
      <w:r>
        <w:rPr>
          <w:rFonts w:ascii="Times New Roman" w:hAnsi="Times New Roman"/>
          <w:bCs w:val="1"/>
          <w:color w:val="000000" w:themeColor="text1"/>
          <w:sz w:val="28"/>
          <w:szCs w:val="28"/>
          <w:lang w:eastAsia="ru-RU"/>
        </w:rPr>
        <w:t>створення та забезпечення функціонування на території України мережі державних ветеранських просторів, закріпити загальні рамки щодо створення та функціонування ветеранських просторів.</w:t>
      </w:r>
    </w:p>
    <w:p>
      <w:pPr>
        <w:shd w:val="clear" w:fill="FFFFFF"/>
        <w:spacing w:lineRule="auto" w:line="240" w:after="0" w:beforeAutospacing="0" w:afterAutospacing="0"/>
        <w:ind w:firstLine="567"/>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 xml:space="preserve">Згідно проекту встановлюється стандарт створення державних ветеранських просторів, а також вимоги відповідності для недержавних ветеранських просторів, що має на меті в подальшому допомогти в інтеграції таких ветеранських просторів в єдину національну мережу, пов’язану однією цифровою </w:t>
      </w:r>
      <w:r>
        <w:rPr>
          <w:rFonts w:ascii="Times New Roman" w:hAnsi="Times New Roman"/>
          <w:bCs w:val="1"/>
          <w:color w:val="000000" w:themeColor="text1"/>
          <w:sz w:val="28"/>
          <w:szCs w:val="28"/>
          <w:lang w:eastAsia="ru-RU"/>
        </w:rPr>
        <w:t>мережею.</w:t>
      </w:r>
    </w:p>
    <w:p>
      <w:pPr>
        <w:shd w:val="clear" w:fill="FFFFFF"/>
        <w:spacing w:lineRule="auto" w:line="240" w:after="0" w:beforeAutospacing="0" w:afterAutospacing="0"/>
        <w:ind w:firstLine="567"/>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Крім того, визначаються стандарти функціонування ветеранських просторів, в частині:</w:t>
      </w:r>
    </w:p>
    <w:p>
      <w:pPr>
        <w:shd w:val="clear" w:fill="FFFFFF"/>
        <w:spacing w:lineRule="auto" w:line="240" w:after="0" w:beforeAutospacing="0" w:afterAutospacing="0"/>
        <w:ind w:firstLine="1698" w:left="-1131"/>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встановлення переліку завдань, які покладаються на ветеранський простір;</w:t>
      </w:r>
    </w:p>
    <w:p>
      <w:pPr>
        <w:shd w:val="clear" w:fill="FFFFFF"/>
        <w:spacing w:lineRule="auto" w:line="240" w:after="0" w:beforeAutospacing="0" w:afterAutospacing="0"/>
        <w:ind w:firstLine="1698" w:left="-1131"/>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напрямів їх діяльності;</w:t>
      </w:r>
    </w:p>
    <w:p>
      <w:pPr>
        <w:shd w:val="clear" w:fill="FFFFFF"/>
        <w:spacing w:lineRule="auto" w:line="240" w:after="0" w:beforeAutospacing="0" w:afterAutospacing="0"/>
        <w:ind w:firstLine="1698" w:left="-1131"/>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технічних стандартів щодо облаштування приміщень просторів</w:t>
      </w:r>
      <w:r>
        <w:rPr>
          <w:rFonts w:ascii="Times New Roman" w:hAnsi="Times New Roman"/>
          <w:bCs w:val="0"/>
          <w:smallCaps w:val="0"/>
          <w:color w:val="000000" w:themeColor="dark1"/>
          <w:sz w:val="28"/>
          <w:szCs w:val="22"/>
          <w:cs w:val="0"/>
          <w:spacing w:val="0"/>
          <w:w w:val="100"/>
          <w:position w:val="0"/>
          <w:snapToGrid w:val="1"/>
          <w:lang w:eastAsia="ru-RU"/>
        </w:rPr>
        <w:t>;</w:t>
      </w:r>
      <w:r>
        <w:rPr>
          <w:rFonts w:ascii="Times New Roman" w:hAnsi="Times New Roman"/>
          <w:bCs w:val="1"/>
          <w:color w:val="000000" w:themeColor="text1"/>
          <w:sz w:val="28"/>
          <w:szCs w:val="28"/>
          <w:lang w:eastAsia="ru-RU"/>
        </w:rPr>
        <w:t xml:space="preserve"> </w:t>
      </w:r>
    </w:p>
    <w:p>
      <w:pPr>
        <w:shd w:val="clear" w:fill="FFFFFF"/>
        <w:spacing w:lineRule="auto" w:line="240" w:after="0" w:beforeAutospacing="0" w:afterAutospacing="0"/>
        <w:ind w:firstLine="1698" w:left="-1131"/>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вимог до приміщень та облаштування державних ветеранських просторів</w:t>
      </w:r>
      <w:r>
        <w:rPr>
          <w:rFonts w:ascii="Times New Roman" w:hAnsi="Times New Roman"/>
          <w:bCs w:val="0"/>
          <w:smallCaps w:val="0"/>
          <w:color w:val="000000" w:themeColor="dark1"/>
          <w:sz w:val="28"/>
          <w:szCs w:val="22"/>
          <w:cs w:val="0"/>
          <w:spacing w:val="0"/>
          <w:w w:val="100"/>
          <w:position w:val="0"/>
          <w:snapToGrid w:val="1"/>
          <w:lang w:eastAsia="ru-RU"/>
        </w:rPr>
        <w:t>;</w:t>
      </w:r>
    </w:p>
    <w:p>
      <w:pPr>
        <w:shd w:val="clear" w:fill="FFFFFF"/>
        <w:spacing w:lineRule="auto" w:line="240" w:after="0" w:beforeAutospacing="0" w:afterAutospacing="0"/>
        <w:ind w:firstLine="1698" w:left="-1131"/>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порядку організації мережі державних ветеранських просторів тощо.</w:t>
      </w:r>
    </w:p>
    <w:p>
      <w:pPr>
        <w:shd w:val="clear" w:fill="FFFFFF"/>
        <w:spacing w:lineRule="auto" w:line="240" w:after="0" w:beforeAutospacing="0" w:afterAutospacing="0"/>
        <w:jc w:val="both"/>
        <w:rPr>
          <w:rFonts w:ascii="Times New Roman" w:hAnsi="Times New Roman"/>
          <w:color w:val="FF0000"/>
          <w:sz w:val="28"/>
          <w:szCs w:val="28"/>
          <w:lang w:eastAsia="ru-RU"/>
        </w:rPr>
      </w:pPr>
    </w:p>
    <w:p>
      <w:pPr>
        <w:shd w:val="clear" w:fill="FFFFFF"/>
        <w:spacing w:lineRule="auto" w:line="240" w:after="0" w:beforeAutospacing="0" w:afterAutospacing="0"/>
        <w:ind w:firstLine="567"/>
        <w:jc w:val="both"/>
        <w:rPr>
          <w:rFonts w:ascii="Times New Roman" w:hAnsi="Times New Roman"/>
          <w:b w:val="1"/>
          <w:bCs w:val="1"/>
          <w:color w:val="000000" w:themeColor="text1"/>
          <w:sz w:val="28"/>
          <w:szCs w:val="28"/>
          <w:lang w:eastAsia="ru-RU"/>
        </w:rPr>
      </w:pPr>
      <w:r>
        <w:rPr>
          <w:rFonts w:ascii="Times New Roman" w:hAnsi="Times New Roman"/>
          <w:b w:val="1"/>
          <w:bCs w:val="1"/>
          <w:color w:val="000000" w:themeColor="text1"/>
          <w:sz w:val="28"/>
          <w:szCs w:val="28"/>
          <w:lang w:eastAsia="ru-RU"/>
        </w:rPr>
        <w:t>4. Правові аспекти</w:t>
      </w:r>
    </w:p>
    <w:p>
      <w:pPr>
        <w:shd w:val="clear" w:fill="FFFFFF"/>
        <w:spacing w:lineRule="auto" w:line="240" w:after="0" w:beforeAutospacing="0" w:afterAutospacing="0"/>
        <w:ind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У цій сфері правового регулювання діють такі акти законодавства:</w:t>
      </w:r>
    </w:p>
    <w:p>
      <w:pPr>
        <w:shd w:val="clear" w:fill="FFFFFF"/>
        <w:spacing w:lineRule="auto" w:line="240" w:after="0" w:beforeAutospacing="0" w:afterAutospacing="0"/>
        <w:ind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Конституція України, </w:t>
      </w:r>
      <w:r>
        <w:rPr>
          <w:rFonts w:ascii="Times New Roman" w:hAnsi="Times New Roman"/>
          <w:smallCaps w:val="0"/>
          <w:color w:val="000000" w:themeColor="dark1"/>
          <w:sz w:val="28"/>
          <w:szCs w:val="22"/>
          <w:cs w:val="0"/>
          <w:spacing w:val="0"/>
          <w:w w:val="100"/>
          <w:position w:val="0"/>
          <w:snapToGrid w:val="1"/>
          <w:lang w:eastAsia="ru-RU"/>
        </w:rPr>
        <w:t>з</w:t>
      </w:r>
      <w:r>
        <w:rPr>
          <w:rFonts w:ascii="Times New Roman" w:hAnsi="Times New Roman"/>
          <w:color w:val="000000" w:themeColor="text1"/>
          <w:sz w:val="28"/>
          <w:szCs w:val="28"/>
          <w:lang w:eastAsia="ru-RU"/>
        </w:rPr>
        <w:t>акони України “Про пенсійне забезпечення осіб, звільнених з військової служби, та деяких інших осіб”, “Про соціальний</w:t>
      </w:r>
      <w:r>
        <w:rPr>
          <w:rFonts w:ascii="Times New Roman" w:hAnsi="Times New Roman"/>
          <w:smallCaps w:val="0"/>
          <w:color w:val="000000" w:themeColor="dark1"/>
          <w:sz w:val="28"/>
          <w:szCs w:val="22"/>
          <w:cs w:val="0"/>
          <w:spacing w:val="0"/>
          <w:w w:val="100"/>
          <w:position w:val="0"/>
          <w:snapToGrid w:val="1"/>
          <w:lang w:eastAsia="ru-RU"/>
        </w:rPr>
        <w:br w:type="textWrapping"/>
      </w:r>
      <w:r>
        <w:rPr>
          <w:rFonts w:ascii="Times New Roman" w:hAnsi="Times New Roman"/>
          <w:color w:val="000000" w:themeColor="text1"/>
          <w:sz w:val="28"/>
          <w:szCs w:val="28"/>
          <w:lang w:eastAsia="ru-RU"/>
        </w:rPr>
        <w:t xml:space="preserve">і правовий захист військовослужбовців та членів їх сімей”, “Про державні гарантії соціального захисту військовослужбовців, які звільняються із служби у зв’язку з реформуванням Збройних Сил України, та членів їхніх сімей”, “Про статус ветеранів війни, гарантії їх соціального захисту”, “Про соціальні послуги”, “Про зайнятість населення”, </w:t>
      </w:r>
      <w:bookmarkStart w:id="4" w:name="_Hlk176264189"/>
      <w:r>
        <w:rPr>
          <w:rFonts w:ascii="Times New Roman" w:hAnsi="Times New Roman"/>
          <w:color w:val="000000" w:themeColor="text1"/>
          <w:sz w:val="28"/>
          <w:szCs w:val="28"/>
          <w:lang w:eastAsia="ru-RU"/>
        </w:rPr>
        <w:t>“</w:t>
      </w:r>
      <w:bookmarkEnd w:id="4"/>
      <w:r>
        <w:rPr>
          <w:rFonts w:ascii="Times New Roman" w:hAnsi="Times New Roman"/>
          <w:color w:val="000000" w:themeColor="text1"/>
          <w:sz w:val="28"/>
          <w:szCs w:val="28"/>
          <w:lang w:eastAsia="ru-RU"/>
        </w:rPr>
        <w:t>Про правовий статус осіб, зниклих безвісти за особливих обставин”, Указ Президента України “Про невідкладні заходи щодо підтримки ветеранів війни, членів їх сімей, членів сімей загиблих (померлих) ветеранів війни, членів сімей загиблих (померлих) Захисників і Захисниць України”, постанови Кабінету Міністрів України “Деякі питання забезпечення інституту помічника ветерана в системі переходу від військової служби до цивільного життя”, “Деякі питання ментальної, спортивної, фізичної, психологічної реабілітації та професійної адаптації ветеранів війни, членів їх сімей та деяких інших категорій осіб”.</w:t>
      </w:r>
    </w:p>
    <w:p>
      <w:pPr>
        <w:shd w:val="clear" w:fill="FFFFFF"/>
        <w:spacing w:lineRule="auto" w:line="240" w:after="0" w:beforeAutospacing="0" w:afterAutospacing="0"/>
        <w:jc w:val="both"/>
        <w:rPr>
          <w:rFonts w:ascii="Times New Roman" w:hAnsi="Times New Roman"/>
          <w:color w:val="000000" w:themeColor="text1"/>
          <w:sz w:val="28"/>
          <w:szCs w:val="28"/>
          <w:lang w:eastAsia="ru-RU"/>
        </w:rPr>
      </w:pPr>
    </w:p>
    <w:p>
      <w:pPr>
        <w:shd w:val="clear" w:fill="FFFFFF"/>
        <w:spacing w:lineRule="auto" w:line="240" w:after="0" w:beforeAutospacing="0" w:afterAutospacing="0"/>
        <w:ind w:firstLine="567"/>
        <w:jc w:val="both"/>
        <w:rPr>
          <w:rFonts w:ascii="Times New Roman" w:hAnsi="Times New Roman"/>
          <w:b w:val="1"/>
          <w:bCs w:val="1"/>
          <w:color w:val="000000" w:themeColor="text1"/>
          <w:sz w:val="28"/>
          <w:szCs w:val="28"/>
          <w:lang w:eastAsia="ru-RU"/>
        </w:rPr>
      </w:pPr>
      <w:r>
        <w:rPr>
          <w:rFonts w:ascii="Times New Roman" w:hAnsi="Times New Roman"/>
          <w:b w:val="1"/>
          <w:bCs w:val="1"/>
          <w:color w:val="000000" w:themeColor="text1"/>
          <w:sz w:val="28"/>
          <w:szCs w:val="28"/>
          <w:lang w:eastAsia="ru-RU"/>
        </w:rPr>
        <w:t>5. Фінансово-економічне обґрунтування</w:t>
      </w:r>
    </w:p>
    <w:p>
      <w:pPr>
        <w:shd w:val="clear" w:fill="FFFFFF"/>
        <w:spacing w:lineRule="auto" w:line="240" w:after="0" w:beforeAutospacing="0" w:afterAutospacing="0"/>
        <w:ind w:firstLine="567"/>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Реалізація проекту акта потребуватиме додаткових витрат з державного бюджету. Фінансово-економічні розрахунки додаються.</w:t>
      </w:r>
    </w:p>
    <w:p>
      <w:pPr>
        <w:shd w:val="clear" w:fill="FFFFFF"/>
        <w:spacing w:lineRule="auto" w:line="240" w:after="0" w:beforeAutospacing="0" w:afterAutospacing="0"/>
        <w:jc w:val="both"/>
        <w:rPr>
          <w:rFonts w:ascii="Times New Roman" w:hAnsi="Times New Roman"/>
          <w:bCs w:val="1"/>
          <w:color w:val="FF0000"/>
          <w:sz w:val="28"/>
          <w:szCs w:val="28"/>
          <w:lang w:eastAsia="ru-RU"/>
        </w:rPr>
      </w:pPr>
    </w:p>
    <w:p>
      <w:pPr>
        <w:shd w:val="clear" w:fill="FFFFFF"/>
        <w:spacing w:lineRule="auto" w:line="240" w:after="0" w:beforeAutospacing="0" w:afterAutospacing="0"/>
        <w:ind w:firstLine="567"/>
        <w:jc w:val="both"/>
        <w:rPr>
          <w:rFonts w:ascii="Times New Roman" w:hAnsi="Times New Roman"/>
          <w:b w:val="1"/>
          <w:color w:val="000000" w:themeColor="text1"/>
          <w:sz w:val="28"/>
          <w:szCs w:val="28"/>
          <w:lang w:eastAsia="ru-RU"/>
        </w:rPr>
      </w:pPr>
      <w:r>
        <w:rPr>
          <w:rFonts w:ascii="Times New Roman" w:hAnsi="Times New Roman"/>
          <w:b w:val="1"/>
          <w:color w:val="000000" w:themeColor="text1"/>
          <w:sz w:val="28"/>
          <w:szCs w:val="28"/>
          <w:lang w:eastAsia="ru-RU"/>
        </w:rPr>
        <w:t xml:space="preserve">6. Позиція заінтересованих сторін </w:t>
      </w:r>
    </w:p>
    <w:p>
      <w:pPr>
        <w:pStyle w:val="P8"/>
        <w:spacing w:lineRule="auto" w:line="240" w:after="0" w:beforeAutospacing="0" w:afterAutospacing="0"/>
        <w:ind w:firstLine="567"/>
        <w:jc w:val="both"/>
        <w:rPr>
          <w:rFonts w:ascii="Times New Roman" w:hAnsi="Times New Roman"/>
          <w:color w:val="000000"/>
          <w:sz w:val="28"/>
          <w:lang w:val="uk-UA"/>
        </w:rPr>
      </w:pPr>
      <w:r>
        <w:rPr>
          <w:rFonts w:ascii="Times New Roman" w:hAnsi="Times New Roman"/>
          <w:bCs w:val="1"/>
          <w:color w:val="000000" w:themeColor="text1"/>
          <w:sz w:val="28"/>
          <w:szCs w:val="28"/>
          <w:lang w:val="uk-UA" w:eastAsia="ru-RU"/>
        </w:rPr>
        <w:t xml:space="preserve">Проект акта потребує погодження Мінфіном, Мінекономіки, </w:t>
      </w:r>
      <w:bookmarkStart w:id="5" w:name="_Hlk187146448"/>
      <w:r>
        <w:rPr>
          <w:rFonts w:ascii="Times New Roman" w:hAnsi="Times New Roman"/>
          <w:bCs w:val="1"/>
          <w:color w:val="000000" w:themeColor="text1"/>
          <w:sz w:val="28"/>
          <w:szCs w:val="28"/>
          <w:lang w:val="uk-UA" w:eastAsia="ru-RU"/>
        </w:rPr>
        <w:t>Мінсоцполітики,</w:t>
      </w:r>
      <w:bookmarkEnd w:id="5"/>
      <w:r>
        <w:rPr>
          <w:rFonts w:ascii="Times New Roman" w:hAnsi="Times New Roman"/>
          <w:bCs w:val="1"/>
          <w:color w:val="000000" w:themeColor="text1"/>
          <w:sz w:val="28"/>
          <w:szCs w:val="28"/>
          <w:lang w:val="uk-UA" w:eastAsia="ru-RU"/>
        </w:rPr>
        <w:t xml:space="preserve"> Мінцифри, Уповноваженим Верховної Ради України з прав людини, </w:t>
      </w:r>
      <w:r>
        <w:rPr>
          <w:rFonts w:ascii="Times New Roman" w:hAnsi="Times New Roman"/>
          <w:color w:val="000000"/>
          <w:sz w:val="28"/>
          <w:lang w:val="uk-UA"/>
        </w:rPr>
        <w:t>а також потребує проведення правової експертизи Мін’юстом.</w:t>
      </w:r>
    </w:p>
    <w:p>
      <w:pPr>
        <w:shd w:val="clear" w:fill="FFFFFF"/>
        <w:spacing w:lineRule="auto" w:line="240" w:after="0" w:beforeAutospacing="0" w:afterAutospacing="0"/>
        <w:ind w:firstLine="567"/>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Проект акта потребує визначення необхідності проведення антикорупційної експертизи Національним агентством з питань запобігання корупції.</w:t>
      </w:r>
    </w:p>
    <w:p>
      <w:pPr>
        <w:shd w:val="clear" w:fill="FFFFFF"/>
        <w:spacing w:lineRule="auto" w:line="240" w:after="0" w:beforeAutospacing="0" w:afterAutospacing="0"/>
        <w:ind w:firstLine="567"/>
        <w:jc w:val="both"/>
        <w:rPr>
          <w:rFonts w:ascii="Times New Roman" w:hAnsi="Times New Roman"/>
          <w:color w:val="000000" w:themeColor="text1"/>
          <w:sz w:val="28"/>
          <w:szCs w:val="28"/>
          <w:spacing w:val="-67"/>
        </w:rPr>
      </w:pPr>
      <w:r>
        <w:rPr>
          <w:rFonts w:ascii="Times New Roman" w:hAnsi="Times New Roman"/>
          <w:color w:val="000000" w:themeColor="text1"/>
          <w:sz w:val="28"/>
          <w:szCs w:val="28"/>
        </w:rPr>
        <w:t>Проект акта не стосується питань функціонування місцевого самоврядування,</w:t>
      </w:r>
      <w:r>
        <w:rPr>
          <w:rFonts w:ascii="Times New Roman" w:hAnsi="Times New Roman"/>
          <w:color w:val="000000" w:themeColor="text1"/>
          <w:sz w:val="28"/>
          <w:szCs w:val="28"/>
          <w:spacing w:val="-67"/>
        </w:rPr>
        <w:t xml:space="preserve">  </w:t>
      </w:r>
      <w:r>
        <w:rPr>
          <w:rFonts w:ascii="Times New Roman" w:hAnsi="Times New Roman"/>
          <w:color w:val="000000" w:themeColor="text1"/>
          <w:sz w:val="28"/>
          <w:szCs w:val="28"/>
        </w:rPr>
        <w:t>прав та інтересів територіальних громад, соціально-трудової</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сфери,</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прав</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осіб</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з</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інвалідністю,</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розвитку</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адміністративно-територіальних</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одиниць,</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сфери</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наукової</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та</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науково-технічної</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діяльності,</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функціонування</w:t>
      </w:r>
      <w:r>
        <w:rPr>
          <w:rFonts w:ascii="Times New Roman" w:hAnsi="Times New Roman"/>
          <w:smallCaps w:val="0"/>
          <w:color w:val="000000" w:themeColor="dark1"/>
          <w:sz w:val="28"/>
          <w:szCs w:val="22"/>
          <w:cs w:val="0"/>
          <w:spacing w:val="0"/>
          <w:w w:val="100"/>
          <w:position w:val="0"/>
          <w:snapToGrid w:val="1"/>
        </w:rPr>
        <w:br w:type="textWrapping"/>
      </w:r>
      <w:r>
        <w:rPr>
          <w:rFonts w:ascii="Times New Roman" w:hAnsi="Times New Roman"/>
          <w:color w:val="000000" w:themeColor="text1"/>
          <w:sz w:val="28"/>
          <w:szCs w:val="28"/>
        </w:rPr>
        <w:t>і</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застосування</w:t>
      </w:r>
      <w:r>
        <w:rPr>
          <w:rFonts w:ascii="Times New Roman" w:hAnsi="Times New Roman"/>
          <w:color w:val="000000" w:themeColor="text1"/>
          <w:sz w:val="28"/>
          <w:szCs w:val="28"/>
          <w:spacing w:val="-67"/>
        </w:rPr>
        <w:t xml:space="preserve">  </w:t>
      </w:r>
      <w:r>
        <w:rPr>
          <w:rFonts w:ascii="Times New Roman" w:hAnsi="Times New Roman"/>
          <w:color w:val="000000" w:themeColor="text1"/>
          <w:sz w:val="28"/>
          <w:szCs w:val="28"/>
        </w:rPr>
        <w:t>української</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мови</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як</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державної,</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у</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зв’язку</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з</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чим</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не</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потребує</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погодження</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уповноваженими представниками всеукраїнських профспілок, їхніх об’єднань і</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всеукраїнських</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об’єднань</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організацій</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роботодавців,</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всеукраїнською</w:t>
      </w:r>
      <w:r>
        <w:rPr>
          <w:rFonts w:ascii="Times New Roman" w:hAnsi="Times New Roman"/>
          <w:color w:val="000000" w:themeColor="text1"/>
          <w:sz w:val="28"/>
          <w:szCs w:val="28"/>
          <w:spacing w:val="-67"/>
        </w:rPr>
        <w:t xml:space="preserve"> </w:t>
      </w:r>
      <w:r>
        <w:rPr>
          <w:rFonts w:ascii="Times New Roman" w:hAnsi="Times New Roman"/>
          <w:color w:val="000000" w:themeColor="text1"/>
          <w:sz w:val="28"/>
          <w:szCs w:val="28"/>
        </w:rPr>
        <w:t>громадською</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організацією</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осіб</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з</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інвалідністю,</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Науковим</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комітетом</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Національної</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ради</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України</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з</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питань</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розвитку</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науки</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і</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технологій,</w:t>
      </w:r>
      <w:r>
        <w:rPr>
          <w:rFonts w:ascii="Times New Roman" w:hAnsi="Times New Roman"/>
          <w:color w:val="000000" w:themeColor="text1"/>
          <w:sz w:val="28"/>
          <w:szCs w:val="28"/>
          <w:spacing w:val="1"/>
        </w:rPr>
        <w:t xml:space="preserve"> </w:t>
      </w:r>
      <w:r>
        <w:rPr>
          <w:rFonts w:ascii="Times New Roman" w:hAnsi="Times New Roman"/>
          <w:color w:val="000000" w:themeColor="text1"/>
          <w:sz w:val="28"/>
          <w:szCs w:val="28"/>
        </w:rPr>
        <w:t>Уповноваженим</w:t>
      </w:r>
      <w:r>
        <w:rPr>
          <w:rFonts w:ascii="Times New Roman" w:hAnsi="Times New Roman"/>
          <w:color w:val="000000" w:themeColor="text1"/>
          <w:sz w:val="28"/>
          <w:szCs w:val="28"/>
          <w:spacing w:val="-2"/>
        </w:rPr>
        <w:t xml:space="preserve"> </w:t>
      </w:r>
      <w:r>
        <w:rPr>
          <w:rFonts w:ascii="Times New Roman" w:hAnsi="Times New Roman"/>
          <w:color w:val="000000" w:themeColor="text1"/>
          <w:sz w:val="28"/>
          <w:szCs w:val="28"/>
        </w:rPr>
        <w:t>із захисту державної мови.</w:t>
      </w:r>
    </w:p>
    <w:p>
      <w:pPr>
        <w:shd w:val="clear" w:fill="FFFFFF"/>
        <w:spacing w:lineRule="auto" w:line="240" w:after="0" w:beforeAutospacing="0" w:afterAutospacing="0"/>
        <w:jc w:val="both"/>
        <w:rPr>
          <w:rFonts w:ascii="Times New Roman" w:hAnsi="Times New Roman"/>
          <w:bCs w:val="1"/>
          <w:color w:val="FF0000"/>
          <w:sz w:val="28"/>
          <w:szCs w:val="28"/>
          <w:lang w:eastAsia="ru-RU"/>
        </w:rPr>
      </w:pPr>
    </w:p>
    <w:p>
      <w:pPr>
        <w:shd w:val="clear" w:fill="FFFFFF"/>
        <w:spacing w:lineRule="auto" w:line="240" w:after="0" w:beforeAutospacing="0" w:afterAutospacing="0"/>
        <w:ind w:firstLine="567"/>
        <w:jc w:val="both"/>
        <w:rPr>
          <w:rFonts w:ascii="Times New Roman" w:hAnsi="Times New Roman"/>
          <w:b w:val="1"/>
          <w:bCs w:val="1"/>
          <w:color w:val="000000" w:themeColor="text1"/>
          <w:sz w:val="28"/>
          <w:szCs w:val="28"/>
          <w:lang w:eastAsia="ru-RU"/>
        </w:rPr>
      </w:pPr>
      <w:r>
        <w:rPr>
          <w:rFonts w:ascii="Times New Roman" w:hAnsi="Times New Roman"/>
          <w:b w:val="1"/>
          <w:bCs w:val="1"/>
          <w:color w:val="000000" w:themeColor="text1"/>
          <w:sz w:val="28"/>
          <w:szCs w:val="28"/>
          <w:lang w:eastAsia="ru-RU"/>
        </w:rPr>
        <w:t>7. Оцінка відповідності</w:t>
      </w:r>
    </w:p>
    <w:p>
      <w:pPr>
        <w:shd w:val="clear" w:fill="FFFFFF"/>
        <w:spacing w:lineRule="auto" w:line="240" w:after="0" w:beforeAutospacing="0" w:afterAutospacing="0"/>
        <w:ind w:firstLine="567"/>
        <w:jc w:val="both"/>
        <w:rPr>
          <w:rFonts w:ascii="Times New Roman" w:hAnsi="Times New Roman"/>
          <w:bCs w:val="1"/>
          <w:color w:val="000000" w:themeColor="text1"/>
          <w:sz w:val="28"/>
          <w:szCs w:val="28"/>
          <w:lang w:eastAsia="ru-RU"/>
        </w:rPr>
      </w:pPr>
      <w:r>
        <w:rPr>
          <w:rFonts w:ascii="Times New Roman" w:hAnsi="Times New Roman"/>
          <w:bCs w:val="1"/>
          <w:color w:val="000000" w:themeColor="text1"/>
          <w:sz w:val="28"/>
          <w:szCs w:val="28"/>
          <w:lang w:eastAsia="ru-RU"/>
        </w:rPr>
        <w:t>У проекті акта відсутні положення, які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w:t>
      </w:r>
    </w:p>
    <w:p>
      <w:pPr>
        <w:shd w:val="clear" w:fill="FFFFFF"/>
        <w:spacing w:lineRule="auto" w:line="240" w:after="0" w:beforeAutospacing="0" w:afterAutospacing="0"/>
        <w:ind w:firstLine="567"/>
        <w:jc w:val="both"/>
        <w:rPr>
          <w:rFonts w:ascii="Times New Roman" w:hAnsi="Times New Roman"/>
          <w:b w:val="1"/>
          <w:bCs w:val="1"/>
          <w:color w:val="000000" w:themeColor="text1"/>
          <w:sz w:val="28"/>
          <w:szCs w:val="28"/>
          <w:lang w:eastAsia="ru-RU"/>
        </w:rPr>
      </w:pPr>
      <w:r>
        <w:rPr>
          <w:rFonts w:ascii="Times New Roman" w:hAnsi="Times New Roman"/>
          <w:bCs w:val="1"/>
          <w:color w:val="000000" w:themeColor="text1"/>
          <w:sz w:val="28"/>
          <w:szCs w:val="28"/>
          <w:lang w:eastAsia="ru-RU"/>
        </w:rPr>
        <w:t>Проект акта не містить ризиків вчинення корупційних правопорушень та правопорушень, пов’язаних з корупцією, створюють підстави для дискримінації (буде направлений до Національного агентства з питань запобігання корупції для вирішення питання про доцільність проведення антикорупційної експертизи).</w:t>
      </w:r>
    </w:p>
    <w:p>
      <w:pPr>
        <w:shd w:val="clear" w:fill="FFFFFF"/>
        <w:spacing w:lineRule="auto" w:line="240" w:after="0" w:beforeAutospacing="0" w:afterAutospacing="0"/>
        <w:jc w:val="both"/>
        <w:rPr>
          <w:rFonts w:ascii="Times New Roman" w:hAnsi="Times New Roman"/>
          <w:b w:val="1"/>
          <w:bCs w:val="1"/>
          <w:color w:val="000000" w:themeColor="text1"/>
          <w:sz w:val="28"/>
          <w:szCs w:val="28"/>
          <w:lang w:eastAsia="ru-RU"/>
        </w:rPr>
      </w:pPr>
    </w:p>
    <w:p>
      <w:pPr>
        <w:shd w:val="clear" w:fill="FFFFFF"/>
        <w:spacing w:lineRule="auto" w:line="240" w:after="0" w:beforeAutospacing="0" w:afterAutospacing="0"/>
        <w:ind w:firstLine="567"/>
        <w:jc w:val="both"/>
        <w:rPr>
          <w:rFonts w:ascii="Times New Roman" w:hAnsi="Times New Roman"/>
          <w:b w:val="1"/>
          <w:bCs w:val="1"/>
          <w:color w:val="000000" w:themeColor="text1"/>
          <w:sz w:val="28"/>
          <w:szCs w:val="28"/>
          <w:lang w:eastAsia="ru-RU"/>
        </w:rPr>
      </w:pPr>
      <w:r>
        <w:rPr>
          <w:rFonts w:ascii="Times New Roman" w:hAnsi="Times New Roman"/>
          <w:b w:val="1"/>
          <w:bCs w:val="1"/>
          <w:color w:val="000000" w:themeColor="text1"/>
          <w:sz w:val="28"/>
          <w:szCs w:val="28"/>
          <w:lang w:eastAsia="ru-RU"/>
        </w:rPr>
        <w:t>8. Прогноз результатів</w:t>
      </w:r>
    </w:p>
    <w:p>
      <w:pPr>
        <w:shd w:val="clear" w:fill="FFFFFF"/>
        <w:spacing w:lineRule="auto" w:line="240" w:after="0" w:beforeAutospacing="0" w:afterAutospacing="0"/>
        <w:ind w:firstLine="567"/>
        <w:jc w:val="both"/>
        <w:rPr>
          <w:rFonts w:ascii="Times New Roman" w:hAnsi="Times New Roman"/>
          <w:color w:val="000000" w:themeColor="text1"/>
          <w:sz w:val="28"/>
          <w:szCs w:val="28"/>
          <w:spacing w:val="-2"/>
        </w:rPr>
      </w:pPr>
      <w:r>
        <w:rPr>
          <w:rFonts w:ascii="Times New Roman" w:hAnsi="Times New Roman"/>
          <w:color w:val="000000" w:themeColor="text1"/>
          <w:sz w:val="28"/>
          <w:szCs w:val="28"/>
        </w:rPr>
        <w:t>Реалізація</w:t>
      </w:r>
      <w:r>
        <w:rPr>
          <w:rFonts w:ascii="Times New Roman" w:hAnsi="Times New Roman"/>
          <w:color w:val="000000" w:themeColor="text1"/>
          <w:sz w:val="28"/>
          <w:szCs w:val="28"/>
          <w:spacing w:val="-5"/>
        </w:rPr>
        <w:t xml:space="preserve"> </w:t>
      </w:r>
      <w:r>
        <w:rPr>
          <w:rFonts w:ascii="Times New Roman" w:hAnsi="Times New Roman"/>
          <w:color w:val="000000" w:themeColor="text1"/>
          <w:sz w:val="28"/>
          <w:szCs w:val="28"/>
        </w:rPr>
        <w:t>акта</w:t>
      </w:r>
      <w:r>
        <w:rPr>
          <w:rFonts w:ascii="Times New Roman" w:hAnsi="Times New Roman"/>
          <w:color w:val="000000" w:themeColor="text1"/>
          <w:sz w:val="28"/>
          <w:szCs w:val="28"/>
          <w:spacing w:val="-2"/>
        </w:rPr>
        <w:t xml:space="preserve"> </w:t>
      </w:r>
      <w:r>
        <w:rPr>
          <w:rFonts w:ascii="Times New Roman" w:hAnsi="Times New Roman"/>
          <w:color w:val="000000" w:themeColor="text1"/>
          <w:sz w:val="28"/>
          <w:szCs w:val="28"/>
        </w:rPr>
        <w:t>матиме</w:t>
      </w:r>
      <w:r>
        <w:rPr>
          <w:rFonts w:ascii="Times New Roman" w:hAnsi="Times New Roman"/>
          <w:color w:val="000000" w:themeColor="text1"/>
          <w:sz w:val="28"/>
          <w:szCs w:val="28"/>
          <w:spacing w:val="-2"/>
        </w:rPr>
        <w:t xml:space="preserve"> </w:t>
      </w:r>
      <w:r>
        <w:rPr>
          <w:rFonts w:ascii="Times New Roman" w:hAnsi="Times New Roman"/>
          <w:color w:val="000000" w:themeColor="text1"/>
          <w:sz w:val="28"/>
          <w:szCs w:val="28"/>
        </w:rPr>
        <w:t>вплив</w:t>
      </w:r>
      <w:r>
        <w:rPr>
          <w:rFonts w:ascii="Times New Roman" w:hAnsi="Times New Roman"/>
          <w:color w:val="000000" w:themeColor="text1"/>
          <w:sz w:val="28"/>
          <w:szCs w:val="28"/>
          <w:spacing w:val="-4"/>
        </w:rPr>
        <w:t xml:space="preserve"> </w:t>
      </w:r>
      <w:r>
        <w:rPr>
          <w:rFonts w:ascii="Times New Roman" w:hAnsi="Times New Roman"/>
          <w:color w:val="000000" w:themeColor="text1"/>
          <w:sz w:val="28"/>
          <w:szCs w:val="28"/>
        </w:rPr>
        <w:t>на</w:t>
      </w:r>
      <w:r>
        <w:rPr>
          <w:rFonts w:ascii="Times New Roman" w:hAnsi="Times New Roman"/>
          <w:color w:val="000000" w:themeColor="text1"/>
          <w:sz w:val="28"/>
          <w:szCs w:val="28"/>
          <w:spacing w:val="-2"/>
        </w:rPr>
        <w:t xml:space="preserve"> </w:t>
      </w:r>
      <w:r>
        <w:rPr>
          <w:rFonts w:ascii="Times New Roman" w:hAnsi="Times New Roman"/>
          <w:color w:val="000000" w:themeColor="text1"/>
          <w:sz w:val="28"/>
          <w:szCs w:val="28"/>
        </w:rPr>
        <w:t>інтереси</w:t>
      </w:r>
      <w:r>
        <w:rPr>
          <w:rFonts w:ascii="Times New Roman" w:hAnsi="Times New Roman"/>
          <w:color w:val="000000" w:themeColor="text1"/>
          <w:sz w:val="28"/>
          <w:szCs w:val="28"/>
          <w:spacing w:val="-3"/>
        </w:rPr>
        <w:t xml:space="preserve"> </w:t>
      </w:r>
      <w:r>
        <w:rPr>
          <w:rFonts w:ascii="Times New Roman" w:hAnsi="Times New Roman"/>
          <w:color w:val="000000" w:themeColor="text1"/>
          <w:sz w:val="28"/>
          <w:szCs w:val="28"/>
        </w:rPr>
        <w:t>заінтересованих</w:t>
      </w:r>
      <w:r>
        <w:rPr>
          <w:rFonts w:ascii="Times New Roman" w:hAnsi="Times New Roman"/>
          <w:color w:val="000000" w:themeColor="text1"/>
          <w:sz w:val="28"/>
          <w:szCs w:val="28"/>
          <w:spacing w:val="-2"/>
        </w:rPr>
        <w:t xml:space="preserve"> сторін:</w:t>
      </w:r>
    </w:p>
    <w:p>
      <w:pPr>
        <w:shd w:val="clear" w:fill="FFFFFF"/>
        <w:spacing w:lineRule="auto" w:line="240" w:after="0" w:beforeAutospacing="0" w:afterAutospacing="0"/>
        <w:jc w:val="both"/>
        <w:rPr>
          <w:rFonts w:ascii="Times New Roman" w:hAnsi="Times New Roman"/>
          <w:bCs w:val="1"/>
          <w:color w:val="000000" w:themeColor="text1"/>
          <w:sz w:val="28"/>
          <w:szCs w:val="28"/>
          <w:lang w:eastAsia="ru-RU"/>
        </w:rPr>
      </w:pPr>
    </w:p>
    <w:tbl>
      <w:tblPr>
        <w:tblStyle w:val="T2"/>
        <w:tblW w:w="9923" w:type="dxa"/>
        <w:tblInd w:w="-147"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335"/>
        </w:trPr>
        <w:tc>
          <w:tcPr>
            <w:tcW w:w="3261" w:type="dxa"/>
          </w:tcPr>
          <w:p>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spacing w:val="-2"/>
                <w:lang w:val="uk-UA"/>
              </w:rPr>
              <w:t>Заінтересована сторона</w:t>
            </w:r>
          </w:p>
        </w:tc>
        <w:tc>
          <w:tcPr>
            <w:tcW w:w="1949" w:type="dxa"/>
          </w:tcPr>
          <w:p>
            <w:pPr>
              <w:ind w:right="96"/>
              <w:jc w:val="center"/>
              <w:rPr>
                <w:rFonts w:ascii="Times New Roman" w:hAnsi="Times New Roman"/>
                <w:color w:val="000000" w:themeColor="text1"/>
                <w:sz w:val="24"/>
                <w:szCs w:val="24"/>
                <w:lang w:val="uk-UA"/>
              </w:rPr>
            </w:pPr>
            <w:r>
              <w:rPr>
                <w:rFonts w:ascii="Times New Roman" w:hAnsi="Times New Roman"/>
                <w:color w:val="000000" w:themeColor="text1"/>
                <w:sz w:val="24"/>
                <w:szCs w:val="24"/>
                <w:spacing w:val="-2"/>
                <w:lang w:val="uk-UA"/>
              </w:rPr>
              <w:t xml:space="preserve">Вплив </w:t>
            </w:r>
            <w:r>
              <w:rPr>
                <w:rFonts w:ascii="Times New Roman" w:hAnsi="Times New Roman"/>
                <w:color w:val="000000" w:themeColor="text1"/>
                <w:sz w:val="24"/>
                <w:szCs w:val="24"/>
                <w:lang w:val="uk-UA"/>
              </w:rPr>
              <w:t xml:space="preserve">реалізації </w:t>
              <w:br w:type="textWrapping"/>
              <w:t xml:space="preserve">акта </w:t>
            </w:r>
            <w:r>
              <w:rPr>
                <w:rFonts w:ascii="Times New Roman" w:hAnsi="Times New Roman"/>
                <w:color w:val="000000" w:themeColor="text1"/>
                <w:sz w:val="24"/>
                <w:szCs w:val="24"/>
                <w:spacing w:val="-6"/>
                <w:lang w:val="uk-UA"/>
              </w:rPr>
              <w:t xml:space="preserve">на </w:t>
            </w:r>
            <w:r>
              <w:rPr>
                <w:rFonts w:ascii="Times New Roman" w:hAnsi="Times New Roman"/>
                <w:color w:val="000000" w:themeColor="text1"/>
                <w:sz w:val="24"/>
                <w:szCs w:val="24"/>
                <w:spacing w:val="-2"/>
                <w:lang w:val="uk-UA"/>
              </w:rPr>
              <w:t>заінтересовану сторону</w:t>
            </w:r>
          </w:p>
        </w:tc>
        <w:tc>
          <w:tcPr>
            <w:tcW w:w="4713" w:type="dxa"/>
          </w:tcPr>
          <w:p>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Пояснення очікуваного </w:t>
            </w:r>
            <w:r>
              <w:rPr>
                <w:rFonts w:ascii="Times New Roman" w:hAnsi="Times New Roman"/>
                <w:color w:val="000000" w:themeColor="text1"/>
                <w:sz w:val="24"/>
                <w:szCs w:val="24"/>
                <w:spacing w:val="-2"/>
                <w:lang w:val="uk-UA"/>
              </w:rPr>
              <w:t>впливу</w:t>
            </w:r>
          </w:p>
        </w:tc>
      </w:tr>
      <w:tr>
        <w:trPr>
          <w:trHeight w:hRule="atLeast" w:val="1189"/>
        </w:trPr>
        <w:tc>
          <w:tcPr>
            <w:tcW w:w="3261" w:type="dxa"/>
          </w:tcPr>
          <w:p>
            <w:pPr>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Ветерани війни, члени їх сімей, а також члени сімей загиблих (померлих) ветеранів війни загиблих (померлих) Захисників і Захисниць України.</w:t>
            </w:r>
          </w:p>
        </w:tc>
        <w:tc>
          <w:tcPr>
            <w:tcW w:w="1949" w:type="dxa"/>
          </w:tcPr>
          <w:p>
            <w:pPr>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позитивний</w:t>
            </w:r>
          </w:p>
        </w:tc>
        <w:tc>
          <w:tcPr>
            <w:tcW w:w="4713" w:type="dxa"/>
          </w:tcPr>
          <w:p>
            <w:pPr>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Забезпечення правової основи для створення ветеранських просторів, як основного осередку надання підтримки для ветеранів війни та інших заінтересованих сторін з урахуванням їх індивідуальних потреб; створення умов, що впливають на якість життя та успішність їх суспільної та економічної реінтеграції, зокрема  захист здоров’я, в тому числі психічного, забезпечення житлом та освітою, надання можливості творчого самовираження, самореалізації, самоідентифікації та зайнятості, створення умов для економічної  незалежності та залученості до життя територіальної громади.</w:t>
            </w:r>
          </w:p>
        </w:tc>
      </w:tr>
    </w:tbl>
    <w:p>
      <w:pPr>
        <w:widowControl w:val="0"/>
        <w:spacing w:lineRule="auto" w:line="240" w:before="218" w:after="0" w:beforeAutospacing="0" w:afterAutospacing="0"/>
        <w:rPr>
          <w:rFonts w:ascii="Times New Roman" w:hAnsi="Times New Roman"/>
          <w:sz w:val="12"/>
          <w:szCs w:val="12"/>
        </w:rPr>
      </w:pPr>
    </w:p>
    <w:p>
      <w:pPr>
        <w:widowControl w:val="0"/>
        <w:spacing w:lineRule="auto" w:line="240" w:after="0" w:beforeAutospacing="0" w:afterAutospacing="0"/>
        <w:outlineLvl w:val="0"/>
        <w:rPr>
          <w:rFonts w:ascii="Times New Roman" w:hAnsi="Times New Roman"/>
          <w:sz w:val="28"/>
        </w:rPr>
      </w:pPr>
      <w:r>
        <w:rPr>
          <w:rFonts w:ascii="Times New Roman" w:hAnsi="Times New Roman"/>
          <w:sz w:val="28"/>
          <w:szCs w:val="28"/>
        </w:rPr>
        <w:t xml:space="preserve">Міністр у </w:t>
      </w:r>
      <w:r>
        <w:rPr>
          <w:rFonts w:ascii="Times New Roman" w:hAnsi="Times New Roman"/>
          <w:sz w:val="28"/>
          <w:szCs w:val="28"/>
          <w:spacing w:val="-2"/>
        </w:rPr>
        <w:t>справах</w:t>
      </w:r>
      <w:r>
        <w:rPr>
          <w:rFonts w:ascii="Times New Roman" w:hAnsi="Times New Roman"/>
          <w:smallCaps w:val="0"/>
          <w:sz w:val="28"/>
          <w:szCs w:val="22"/>
          <w:cs w:val="0"/>
          <w:spacing w:val="0"/>
          <w:w w:val="100"/>
          <w:position w:val="0"/>
          <w:snapToGrid w:val="1"/>
        </w:rPr>
        <w:t xml:space="preserve"> </w:t>
      </w:r>
      <w:r>
        <w:rPr>
          <w:rFonts w:ascii="Times New Roman" w:hAnsi="Times New Roman"/>
          <w:sz w:val="28"/>
        </w:rPr>
        <w:t>ветеранів</w:t>
      </w:r>
      <w:r>
        <w:rPr>
          <w:rFonts w:ascii="Times New Roman" w:hAnsi="Times New Roman"/>
          <w:sz w:val="28"/>
          <w:spacing w:val="-9"/>
        </w:rPr>
        <w:t xml:space="preserve"> </w:t>
      </w:r>
      <w:r>
        <w:rPr>
          <w:rFonts w:ascii="Times New Roman" w:hAnsi="Times New Roman"/>
          <w:sz w:val="28"/>
          <w:spacing w:val="-2"/>
        </w:rPr>
        <w:t>України</w:t>
      </w:r>
      <w:r>
        <w:rPr>
          <w:rFonts w:ascii="Times New Roman" w:hAnsi="Times New Roman"/>
          <w:sz w:val="28"/>
        </w:rPr>
        <w:t xml:space="preserve">    </w:t>
      </w:r>
      <w:r>
        <w:rPr>
          <w:rFonts w:ascii="Times New Roman" w:hAnsi="Times New Roman"/>
          <w:sz w:val="28"/>
        </w:rPr>
        <w:t xml:space="preserve">                          Наталія КАЛМИКОВА</w:t>
      </w:r>
    </w:p>
    <w:p>
      <w:pPr>
        <w:widowControl w:val="0"/>
        <w:spacing w:lineRule="auto" w:line="240" w:after="0" w:beforeAutospacing="0" w:afterAutospacing="0"/>
        <w:rPr>
          <w:rFonts w:ascii="Times New Roman" w:hAnsi="Times New Roman"/>
          <w:sz w:val="28"/>
        </w:rPr>
      </w:pPr>
      <w:r>
        <w:rPr>
          <w:rFonts w:ascii="Times New Roman" w:hAnsi="Times New Roman"/>
          <w:sz w:val="28"/>
        </w:rPr>
        <w:t xml:space="preserve">___ ____________ 2025 р. </w:t>
      </w:r>
    </w:p>
    <w:p>
      <w:pPr>
        <w:widowControl w:val="0"/>
        <w:tabs>
          <w:tab w:val="left" w:pos="7137" w:leader="none"/>
        </w:tabs>
        <w:spacing w:lineRule="auto" w:line="240" w:after="0" w:beforeAutospacing="0" w:afterAutospacing="0"/>
        <w:rPr>
          <w:rFonts w:ascii="Times New Roman" w:hAnsi="Times New Roman"/>
          <w:sz w:val="28"/>
          <w:spacing w:val="-2"/>
        </w:rPr>
      </w:pPr>
      <w:r>
        <w:rPr>
          <w:rFonts w:ascii="Times New Roman" w:hAnsi="Times New Roman"/>
          <w:sz w:val="28"/>
        </w:rPr>
        <w:t xml:space="preserve">   </w:t>
      </w:r>
    </w:p>
    <w:sectPr>
      <w:headerReference xmlns:r="http://schemas.openxmlformats.org/officeDocument/2006/relationships" w:type="default" r:id="RelHdr1"/>
      <w:footnotePr/>
      <w:endnotePr/>
      <w:type w:val="nextPage"/>
      <w:pgSz w:w="11906" w:h="16838" w:code="0"/>
      <w:pgMar w:left="1701" w:right="567" w:top="851" w:bottom="1560" w:header="510"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5"/>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w:t>
    </w:r>
    <w:r>
      <w:rPr>
        <w:rFonts w:ascii="Times New Roman" w:hAnsi="Times New Roman"/>
        <w:sz w:val="28"/>
        <w:szCs w:val="28"/>
      </w:rPr>
      <w:fldChar w:fldCharType="end"/>
    </w:r>
  </w:p>
  <w:p>
    <w:pPr>
      <w:pStyle w:val="P5"/>
      <w:rPr>
        <w:rFonts w:ascii="Times New Roman" w:hAnsi="Times New Roman"/>
        <w:sz w:val="28"/>
        <w:szCs w:val="28"/>
      </w:rPr>
    </w:pPr>
  </w:p>
</w:hdr>
</file>

<file path=word/numbering.xml><?xml version="1.0" encoding="utf-8"?>
<w:numbering xmlns:w="http://schemas.openxmlformats.org/wordprocessingml/2006/main">
  <w:abstractNum w:abstractNumId="0">
    <w:nsid w:val="23E55112"/>
    <w:multiLevelType w:val="hybridMultilevel"/>
    <w:lvl w:ilvl="0" w:tplc="9190CEA2">
      <w:start w:val="1"/>
      <w:numFmt w:val="decimal"/>
      <w:suff w:val="tab"/>
      <w:lvlText w:val="%1."/>
      <w:lvlJc w:val="left"/>
      <w:pPr>
        <w:ind w:hanging="360" w:left="3621"/>
      </w:pPr>
      <w:rPr>
        <w:sz w:val="28"/>
        <w:szCs w:val="28"/>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kern w:val="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annotation text"/>
    <w:basedOn w:val="P0"/>
    <w:link w:val="C4"/>
    <w:semiHidden/>
    <w:pPr>
      <w:spacing w:lineRule="auto" w:line="240" w:beforeAutospacing="0" w:afterAutospacing="0"/>
    </w:pPr>
    <w:rPr>
      <w:sz w:val="20"/>
      <w:szCs w:val="20"/>
    </w:rPr>
  </w:style>
  <w:style w:type="paragraph" w:styleId="P3">
    <w:name w:val="annotation subject"/>
    <w:basedOn w:val="P2"/>
    <w:next w:val="P2"/>
    <w:link w:val="C5"/>
    <w:semiHidden/>
    <w:pPr/>
    <w:rPr>
      <w:b w:val="1"/>
      <w:bCs w:val="1"/>
    </w:rPr>
  </w:style>
  <w:style w:type="paragraph" w:styleId="P4">
    <w:name w:val="Balloon Text"/>
    <w:basedOn w:val="P0"/>
    <w:link w:val="C6"/>
    <w:semiHidden/>
    <w:pPr>
      <w:spacing w:lineRule="auto" w:line="240" w:after="0" w:beforeAutospacing="0" w:afterAutospacing="0"/>
    </w:pPr>
    <w:rPr>
      <w:rFonts w:ascii="Segoe UI" w:hAnsi="Segoe UI"/>
      <w:sz w:val="18"/>
      <w:szCs w:val="18"/>
    </w:rPr>
  </w:style>
  <w:style w:type="paragraph" w:styleId="P5">
    <w:name w:val="header"/>
    <w:basedOn w:val="P0"/>
    <w:link w:val="C7"/>
    <w:pPr>
      <w:tabs>
        <w:tab w:val="center" w:pos="4819" w:leader="none"/>
        <w:tab w:val="right" w:pos="9639" w:leader="none"/>
      </w:tabs>
      <w:spacing w:lineRule="auto" w:line="240" w:after="0" w:beforeAutospacing="0" w:afterAutospacing="0"/>
    </w:pPr>
    <w:rPr/>
  </w:style>
  <w:style w:type="paragraph" w:styleId="P6">
    <w:name w:val="footer"/>
    <w:basedOn w:val="P0"/>
    <w:link w:val="C8"/>
    <w:pPr>
      <w:tabs>
        <w:tab w:val="center" w:pos="4819" w:leader="none"/>
        <w:tab w:val="right" w:pos="9639" w:leader="none"/>
      </w:tabs>
      <w:spacing w:lineRule="auto" w:line="240" w:after="0" w:beforeAutospacing="0" w:afterAutospacing="0"/>
    </w:pPr>
    <w:rPr/>
  </w:style>
  <w:style w:type="paragraph" w:styleId="P7">
    <w:name w:val="Body Text"/>
    <w:basedOn w:val="P0"/>
    <w:link w:val="C9"/>
    <w:qFormat/>
    <w:pPr>
      <w:widowControl w:val="0"/>
      <w:spacing w:lineRule="auto" w:line="240" w:after="0" w:beforeAutospacing="0" w:afterAutospacing="0"/>
    </w:pPr>
    <w:rPr>
      <w:rFonts w:ascii="Times New Roman" w:hAnsi="Times New Roman"/>
      <w:sz w:val="28"/>
      <w:szCs w:val="28"/>
    </w:rPr>
  </w:style>
  <w:style w:type="paragraph" w:styleId="P8">
    <w:name w:val="Звичайний1"/>
    <w:qFormat/>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76" w:after="200" w:beforeAutospacing="0" w:afterAutospacing="0"/>
    </w:pPr>
    <w:rPr>
      <w:rFonts w:ascii="Calibri" w:hAnsi="Calibri"/>
      <w:szCs w:val="20"/>
      <w:lang w:val="ru-RU" w:eastAsia="uk-UA"/>
    </w:rPr>
  </w:style>
  <w:style w:type="paragraph" w:styleId="P9">
    <w:name w:val="footnote text"/>
    <w:link w:val="C11"/>
    <w:semiHidden/>
    <w:pPr>
      <w:spacing w:lineRule="auto" w:line="240" w:after="0" w:beforeAutospacing="0" w:afterAutospacing="0"/>
    </w:pPr>
    <w:rPr>
      <w:sz w:val="20"/>
      <w:szCs w:val="20"/>
    </w:rPr>
  </w:style>
  <w:style w:type="paragraph" w:styleId="P10">
    <w:name w:val="endnote text"/>
    <w:link w:val="C13"/>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annotation reference"/>
    <w:basedOn w:val="C0"/>
    <w:semiHidden/>
    <w:rPr>
      <w:sz w:val="16"/>
      <w:szCs w:val="16"/>
    </w:rPr>
  </w:style>
  <w:style w:type="character" w:styleId="C4">
    <w:name w:val="Текст примітки Знак"/>
    <w:basedOn w:val="C0"/>
    <w:link w:val="P2"/>
    <w:semiHidden/>
    <w:rPr>
      <w:sz w:val="20"/>
      <w:szCs w:val="20"/>
    </w:rPr>
  </w:style>
  <w:style w:type="character" w:styleId="C5">
    <w:name w:val="Тема примітки Знак"/>
    <w:basedOn w:val="C4"/>
    <w:link w:val="P3"/>
    <w:semiHidden/>
    <w:rPr>
      <w:b w:val="1"/>
      <w:bCs w:val="1"/>
      <w:sz w:val="20"/>
      <w:szCs w:val="20"/>
    </w:rPr>
  </w:style>
  <w:style w:type="character" w:styleId="C6">
    <w:name w:val="Текст у виносці Знак"/>
    <w:basedOn w:val="C0"/>
    <w:link w:val="P4"/>
    <w:semiHidden/>
    <w:rPr>
      <w:rFonts w:ascii="Segoe UI" w:hAnsi="Segoe UI"/>
      <w:sz w:val="18"/>
      <w:szCs w:val="18"/>
    </w:rPr>
  </w:style>
  <w:style w:type="character" w:styleId="C7">
    <w:name w:val="Верхній колонтитул Знак"/>
    <w:basedOn w:val="C0"/>
    <w:link w:val="P5"/>
    <w:rPr/>
  </w:style>
  <w:style w:type="character" w:styleId="C8">
    <w:name w:val="Нижній колонтитул Знак"/>
    <w:basedOn w:val="C0"/>
    <w:link w:val="P6"/>
    <w:rPr/>
  </w:style>
  <w:style w:type="character" w:styleId="C9">
    <w:name w:val="Основний текст Знак"/>
    <w:basedOn w:val="C0"/>
    <w:link w:val="P7"/>
    <w:rPr>
      <w:rFonts w:ascii="Times New Roman" w:hAnsi="Times New Roman"/>
      <w:sz w:val="28"/>
      <w:szCs w:val="28"/>
    </w:rPr>
  </w:style>
  <w:style w:type="character" w:styleId="C10">
    <w:name w:val="footnote reference"/>
    <w:semiHidden/>
    <w:rPr>
      <w:vertAlign w:val="superscript"/>
    </w:rPr>
  </w:style>
  <w:style w:type="character" w:styleId="C11">
    <w:name w:val="Footnote Text Char"/>
    <w:link w:val="P9"/>
    <w:semiHidden/>
    <w:rPr>
      <w:sz w:val="20"/>
      <w:szCs w:val="20"/>
    </w:rPr>
  </w:style>
  <w:style w:type="character" w:styleId="C12">
    <w:name w:val="endnote reference"/>
    <w:semiHidden/>
    <w:rPr>
      <w:vertAlign w:val="superscript"/>
    </w:rPr>
  </w:style>
  <w:style w:type="character" w:styleId="C13">
    <w:name w:val="Endnote Text Char"/>
    <w:link w:val="P10"/>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pPr>
      <w:widowControl w:val="0"/>
      <w:spacing w:lineRule="auto" w:line="240" w:after="0" w:beforeAutospacing="0" w:afterAutospacing="0"/>
    </w:pPr>
    <w:rPr>
      <w:lang w:val="en-US"/>
    </w:rPr>
    <w:tblPr>
      <w:tblInd w:w="0" w:type="dxa"/>
      <w:tblCellMar>
        <w:top w:w="0" w:type="dxa"/>
        <w:left w:w="0" w:type="dxa"/>
        <w:bottom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4e12d-2e61-4703-a1a5-43040df4368e}">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Сіверс Роберт Валерійович</dc:creator>
  <dcterms:created xsi:type="dcterms:W3CDTF">2024-10-18T06:48:00Z</dcterms:created>
  <cp:lastModifiedBy>pool-iis</cp:lastModifiedBy>
  <cp:lastPrinted>2024-09-10T07:20:00Z</cp:lastPrinted>
  <dcterms:modified xsi:type="dcterms:W3CDTF">2025-01-09T15:37:52Z</dcterms:modified>
  <cp:revision>27</cp:revision>
</cp:coreProperties>
</file>