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552D" w14:textId="77777777" w:rsidR="00833DE1" w:rsidRDefault="00451B43">
      <w:pPr>
        <w:spacing w:after="0" w:line="240" w:lineRule="auto"/>
        <w:jc w:val="center"/>
        <w:rPr>
          <w:rFonts w:ascii="Times New Roman" w:hAnsi="Times New Roman"/>
          <w:b/>
          <w:bCs/>
          <w:sz w:val="28"/>
          <w:szCs w:val="28"/>
        </w:rPr>
      </w:pPr>
      <w:r>
        <w:rPr>
          <w:rFonts w:ascii="Times New Roman" w:hAnsi="Times New Roman"/>
          <w:b/>
          <w:bCs/>
          <w:sz w:val="28"/>
          <w:szCs w:val="28"/>
        </w:rPr>
        <w:t>ПОРІВНЯЛЬНА ТАБЛИЦЯ</w:t>
      </w:r>
    </w:p>
    <w:p w14:paraId="401C784A" w14:textId="4A8826D5" w:rsidR="00833DE1" w:rsidRDefault="00451B43">
      <w:pPr>
        <w:spacing w:after="0" w:line="240" w:lineRule="auto"/>
        <w:jc w:val="center"/>
        <w:rPr>
          <w:rFonts w:ascii="Times New Roman" w:hAnsi="Times New Roman"/>
          <w:b/>
          <w:bCs/>
          <w:sz w:val="28"/>
          <w:szCs w:val="28"/>
        </w:rPr>
      </w:pPr>
      <w:r>
        <w:rPr>
          <w:rFonts w:ascii="Times New Roman" w:hAnsi="Times New Roman"/>
          <w:b/>
          <w:bCs/>
          <w:sz w:val="28"/>
          <w:szCs w:val="28"/>
        </w:rPr>
        <w:t>до про</w:t>
      </w:r>
      <w:r w:rsidR="00F15961">
        <w:rPr>
          <w:rFonts w:ascii="Times New Roman" w:hAnsi="Times New Roman"/>
          <w:b/>
          <w:bCs/>
          <w:sz w:val="28"/>
          <w:szCs w:val="28"/>
        </w:rPr>
        <w:t>є</w:t>
      </w:r>
      <w:r>
        <w:rPr>
          <w:rFonts w:ascii="Times New Roman" w:hAnsi="Times New Roman"/>
          <w:b/>
          <w:bCs/>
          <w:sz w:val="28"/>
          <w:szCs w:val="28"/>
        </w:rPr>
        <w:t xml:space="preserve">кту наказу Міністерства у справах ветеранів України “Про внесення змін </w:t>
      </w:r>
      <w:r>
        <w:rPr>
          <w:rFonts w:ascii="Times New Roman" w:hAnsi="Times New Roman"/>
          <w:b/>
          <w:bCs/>
          <w:sz w:val="28"/>
          <w:szCs w:val="28"/>
        </w:rPr>
        <w:br/>
        <w:t>до наказу Міністерства у справах ветеранів України від 07 червня 2021 року № 118”</w:t>
      </w:r>
    </w:p>
    <w:p w14:paraId="1F3F79AA" w14:textId="77777777" w:rsidR="00833DE1" w:rsidRDefault="00833DE1">
      <w:pPr>
        <w:spacing w:after="0" w:line="240" w:lineRule="auto"/>
        <w:jc w:val="center"/>
        <w:rPr>
          <w:rFonts w:ascii="Times New Roman" w:hAnsi="Times New Roman"/>
          <w:sz w:val="28"/>
          <w:szCs w:val="28"/>
        </w:rPr>
      </w:pPr>
    </w:p>
    <w:tbl>
      <w:tblPr>
        <w:tblStyle w:val="af4"/>
        <w:tblW w:w="14840" w:type="dxa"/>
        <w:tblInd w:w="-5" w:type="dxa"/>
        <w:tblLook w:val="04A0" w:firstRow="1" w:lastRow="0" w:firstColumn="1" w:lastColumn="0" w:noHBand="0" w:noVBand="1"/>
      </w:tblPr>
      <w:tblGrid>
        <w:gridCol w:w="7420"/>
        <w:gridCol w:w="7420"/>
      </w:tblGrid>
      <w:tr w:rsidR="00833DE1" w14:paraId="5ACB7675" w14:textId="77777777" w:rsidTr="00867B15">
        <w:trPr>
          <w:trHeight w:val="567"/>
        </w:trPr>
        <w:tc>
          <w:tcPr>
            <w:tcW w:w="7420" w:type="dxa"/>
            <w:vAlign w:val="center"/>
          </w:tcPr>
          <w:p w14:paraId="612B2CDF" w14:textId="77777777" w:rsidR="00833DE1" w:rsidRDefault="00451B43">
            <w:pPr>
              <w:spacing w:before="120" w:after="120"/>
              <w:jc w:val="center"/>
              <w:rPr>
                <w:rFonts w:ascii="Times New Roman" w:hAnsi="Times New Roman"/>
                <w:b/>
                <w:bCs/>
                <w:sz w:val="28"/>
                <w:szCs w:val="28"/>
              </w:rPr>
            </w:pPr>
            <w:r>
              <w:rPr>
                <w:rFonts w:ascii="Times New Roman" w:hAnsi="Times New Roman"/>
                <w:b/>
                <w:bCs/>
                <w:sz w:val="28"/>
                <w:szCs w:val="28"/>
              </w:rPr>
              <w:t>Зміст положення (норми) чинного акта</w:t>
            </w:r>
          </w:p>
        </w:tc>
        <w:tc>
          <w:tcPr>
            <w:tcW w:w="7420" w:type="dxa"/>
            <w:vAlign w:val="center"/>
          </w:tcPr>
          <w:p w14:paraId="5065571B" w14:textId="0575FB65" w:rsidR="00833DE1" w:rsidRDefault="00451B43">
            <w:pPr>
              <w:spacing w:before="120" w:after="120"/>
              <w:jc w:val="center"/>
              <w:rPr>
                <w:rFonts w:ascii="Times New Roman" w:hAnsi="Times New Roman"/>
                <w:b/>
                <w:bCs/>
                <w:sz w:val="28"/>
                <w:szCs w:val="28"/>
              </w:rPr>
            </w:pPr>
            <w:r>
              <w:rPr>
                <w:rFonts w:ascii="Times New Roman" w:hAnsi="Times New Roman"/>
                <w:b/>
                <w:color w:val="000000" w:themeColor="text1"/>
                <w:sz w:val="28"/>
                <w:szCs w:val="28"/>
              </w:rPr>
              <w:t>Зміст відповідного положення (норми) про</w:t>
            </w:r>
            <w:r w:rsidR="00F15961">
              <w:rPr>
                <w:rFonts w:ascii="Times New Roman" w:hAnsi="Times New Roman"/>
                <w:b/>
                <w:color w:val="000000" w:themeColor="text1"/>
                <w:sz w:val="28"/>
                <w:szCs w:val="28"/>
              </w:rPr>
              <w:t>є</w:t>
            </w:r>
            <w:r>
              <w:rPr>
                <w:rFonts w:ascii="Times New Roman" w:hAnsi="Times New Roman"/>
                <w:b/>
                <w:color w:val="000000" w:themeColor="text1"/>
                <w:sz w:val="28"/>
                <w:szCs w:val="28"/>
              </w:rPr>
              <w:t>кту акта</w:t>
            </w:r>
          </w:p>
        </w:tc>
      </w:tr>
      <w:tr w:rsidR="00833DE1" w14:paraId="0208DC15" w14:textId="77777777" w:rsidTr="0080054B">
        <w:trPr>
          <w:trHeight w:val="567"/>
        </w:trPr>
        <w:tc>
          <w:tcPr>
            <w:tcW w:w="14840" w:type="dxa"/>
            <w:gridSpan w:val="2"/>
            <w:vAlign w:val="center"/>
          </w:tcPr>
          <w:p w14:paraId="4A8C4391" w14:textId="77777777" w:rsidR="00833DE1" w:rsidRDefault="00451B43">
            <w:pPr>
              <w:jc w:val="center"/>
              <w:rPr>
                <w:rFonts w:ascii="Times New Roman" w:hAnsi="Times New Roman"/>
                <w:b/>
                <w:bCs/>
                <w:sz w:val="28"/>
                <w:szCs w:val="28"/>
              </w:rPr>
            </w:pPr>
            <w:r>
              <w:rPr>
                <w:rFonts w:ascii="Times New Roman" w:hAnsi="Times New Roman"/>
                <w:b/>
                <w:bCs/>
                <w:sz w:val="28"/>
                <w:szCs w:val="28"/>
              </w:rPr>
              <w:t>Наказ Міністерства у справах ветеранів України від 07 червня 2021 року № 118 “Про затвердження Порядку виконання загальнодержавних програм (проєктів, заходів) громадськими об’єднаннями ветеранів війни”, зареєстрований в Міністерстві юстиції України 29 червня 2021 року за № 852/36474</w:t>
            </w:r>
          </w:p>
        </w:tc>
      </w:tr>
      <w:tr w:rsidR="00833DE1" w14:paraId="1862202C" w14:textId="77777777" w:rsidTr="00867B15">
        <w:tc>
          <w:tcPr>
            <w:tcW w:w="7420" w:type="dxa"/>
          </w:tcPr>
          <w:p w14:paraId="28EFD345" w14:textId="77777777" w:rsidR="00833DE1" w:rsidRDefault="00451B43">
            <w:pPr>
              <w:ind w:firstLine="567"/>
              <w:jc w:val="both"/>
              <w:rPr>
                <w:rFonts w:ascii="Times New Roman" w:hAnsi="Times New Roman"/>
                <w:sz w:val="28"/>
                <w:szCs w:val="28"/>
              </w:rPr>
            </w:pPr>
            <w:r>
              <w:rPr>
                <w:rFonts w:ascii="Times New Roman" w:hAnsi="Times New Roman"/>
                <w:sz w:val="28"/>
                <w:szCs w:val="28"/>
              </w:rPr>
              <w:t>Відповідно до абзацу четвертого пункту 6, підпунктів 1 та 4 пункту 7, абзацу першого пункту 27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w:t>
            </w:r>
            <w:r>
              <w:rPr>
                <w:rFonts w:ascii="Times New Roman" w:hAnsi="Times New Roman"/>
                <w:sz w:val="28"/>
                <w:szCs w:val="28"/>
                <w:lang w:val="en-US"/>
              </w:rPr>
              <w:t> </w:t>
            </w:r>
            <w:r>
              <w:rPr>
                <w:rFonts w:ascii="Times New Roman" w:hAnsi="Times New Roman"/>
                <w:sz w:val="28"/>
                <w:szCs w:val="28"/>
              </w:rPr>
              <w:t>1049 (у редакції постанови Кабінету Міністрів України від 16</w:t>
            </w:r>
            <w:r>
              <w:rPr>
                <w:rFonts w:ascii="Times New Roman" w:hAnsi="Times New Roman"/>
                <w:sz w:val="28"/>
                <w:szCs w:val="28"/>
                <w:lang w:val="en-US"/>
              </w:rPr>
              <w:t> </w:t>
            </w:r>
            <w:r>
              <w:rPr>
                <w:rFonts w:ascii="Times New Roman" w:hAnsi="Times New Roman"/>
                <w:sz w:val="28"/>
                <w:szCs w:val="28"/>
              </w:rPr>
              <w:t xml:space="preserve">березня 2016 року № 194), </w:t>
            </w:r>
            <w:r>
              <w:rPr>
                <w:rFonts w:ascii="Times New Roman" w:hAnsi="Times New Roman"/>
                <w:b/>
                <w:bCs/>
                <w:strike/>
                <w:sz w:val="28"/>
                <w:szCs w:val="28"/>
              </w:rPr>
              <w:t>пунктів 7, 15 Порядку використання коштів, передбачених у державному бюджеті на фінансову підтримку громадських об’єднань ветеранів на виконання загальнодержавних програм (проектів, заходів), заходи з відвідування військових поховань і військових пам’ятників та з відзначення святкових, пам’ятних та історичних дат, затвердженого постановою Кабінету Міністрів України від 14 лютого 2018 року № 156 (в редакції постанови Кабінету Міністрів України від 14 квітня 2021 року № 372)</w:t>
            </w:r>
            <w:r>
              <w:rPr>
                <w:rFonts w:ascii="Times New Roman" w:hAnsi="Times New Roman"/>
                <w:sz w:val="28"/>
                <w:szCs w:val="28"/>
              </w:rPr>
              <w:t xml:space="preserve">, з метою вдосконалення планування, організації проведення та забезпечення ефективного використання бюджетних коштів </w:t>
            </w:r>
            <w:r>
              <w:rPr>
                <w:rFonts w:ascii="Times New Roman" w:hAnsi="Times New Roman"/>
                <w:sz w:val="28"/>
                <w:szCs w:val="28"/>
              </w:rPr>
              <w:lastRenderedPageBreak/>
              <w:t>під час виконання (реалізації) загальнодержавних програм (проєктів, заходів),</w:t>
            </w:r>
          </w:p>
          <w:p w14:paraId="1388B60B" w14:textId="77777777" w:rsidR="00833DE1" w:rsidRDefault="00833DE1">
            <w:pPr>
              <w:jc w:val="both"/>
              <w:rPr>
                <w:rFonts w:ascii="Times New Roman" w:hAnsi="Times New Roman"/>
                <w:sz w:val="28"/>
                <w:szCs w:val="28"/>
              </w:rPr>
            </w:pPr>
          </w:p>
          <w:p w14:paraId="7EBC8268" w14:textId="77777777" w:rsidR="00833DE1" w:rsidRDefault="00451B43">
            <w:pPr>
              <w:jc w:val="both"/>
              <w:rPr>
                <w:rFonts w:ascii="Times New Roman" w:hAnsi="Times New Roman"/>
                <w:sz w:val="28"/>
                <w:szCs w:val="28"/>
              </w:rPr>
            </w:pPr>
            <w:r>
              <w:rPr>
                <w:rFonts w:ascii="Times New Roman" w:hAnsi="Times New Roman"/>
                <w:sz w:val="28"/>
                <w:szCs w:val="28"/>
              </w:rPr>
              <w:t>НАКАЗУЮ:</w:t>
            </w:r>
          </w:p>
          <w:p w14:paraId="20E3DBC0" w14:textId="77777777" w:rsidR="00833DE1" w:rsidRDefault="00451B43">
            <w:pPr>
              <w:ind w:firstLine="609"/>
              <w:jc w:val="both"/>
              <w:rPr>
                <w:rFonts w:ascii="Times New Roman" w:hAnsi="Times New Roman"/>
                <w:sz w:val="28"/>
                <w:szCs w:val="28"/>
              </w:rPr>
            </w:pPr>
            <w:r>
              <w:rPr>
                <w:rFonts w:ascii="Times New Roman" w:hAnsi="Times New Roman"/>
                <w:sz w:val="28"/>
                <w:szCs w:val="28"/>
              </w:rPr>
              <w:t>…</w:t>
            </w:r>
          </w:p>
        </w:tc>
        <w:tc>
          <w:tcPr>
            <w:tcW w:w="7420" w:type="dxa"/>
          </w:tcPr>
          <w:p w14:paraId="607213EA" w14:textId="3587F9E7" w:rsidR="00833DE1" w:rsidRDefault="00451B43">
            <w:pPr>
              <w:ind w:firstLine="567"/>
              <w:jc w:val="both"/>
              <w:rPr>
                <w:rFonts w:ascii="Times New Roman" w:hAnsi="Times New Roman"/>
                <w:sz w:val="28"/>
                <w:szCs w:val="28"/>
              </w:rPr>
            </w:pPr>
            <w:r>
              <w:rPr>
                <w:rFonts w:ascii="Times New Roman" w:hAnsi="Times New Roman"/>
                <w:sz w:val="28"/>
                <w:szCs w:val="28"/>
              </w:rPr>
              <w:lastRenderedPageBreak/>
              <w:t>Відповідно до абзацу четвертого пункту 6, підпунктів 1 та 4 пункту 7, абзацу першого пункту 27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w:t>
            </w:r>
            <w:r>
              <w:rPr>
                <w:rFonts w:ascii="Times New Roman" w:hAnsi="Times New Roman"/>
                <w:sz w:val="28"/>
                <w:szCs w:val="28"/>
                <w:lang w:val="en-US"/>
              </w:rPr>
              <w:t> </w:t>
            </w:r>
            <w:r>
              <w:rPr>
                <w:rFonts w:ascii="Times New Roman" w:hAnsi="Times New Roman"/>
                <w:sz w:val="28"/>
                <w:szCs w:val="28"/>
              </w:rPr>
              <w:t>1049 (у редакції постанови Кабінету Міністрів України від 16</w:t>
            </w:r>
            <w:r>
              <w:rPr>
                <w:rFonts w:ascii="Times New Roman" w:hAnsi="Times New Roman"/>
                <w:sz w:val="28"/>
                <w:szCs w:val="28"/>
                <w:lang w:val="en-US"/>
              </w:rPr>
              <w:t> </w:t>
            </w:r>
            <w:r>
              <w:rPr>
                <w:rFonts w:ascii="Times New Roman" w:hAnsi="Times New Roman"/>
                <w:sz w:val="28"/>
                <w:szCs w:val="28"/>
              </w:rPr>
              <w:t>березня 2016 року №</w:t>
            </w:r>
            <w:r>
              <w:rPr>
                <w:rFonts w:ascii="Times New Roman" w:hAnsi="Times New Roman"/>
                <w:sz w:val="28"/>
                <w:szCs w:val="28"/>
                <w:lang w:val="en-US"/>
              </w:rPr>
              <w:t> </w:t>
            </w:r>
            <w:r>
              <w:rPr>
                <w:rFonts w:ascii="Times New Roman" w:hAnsi="Times New Roman"/>
                <w:sz w:val="28"/>
                <w:szCs w:val="28"/>
              </w:rPr>
              <w:t xml:space="preserve">194), </w:t>
            </w:r>
            <w:bookmarkStart w:id="0" w:name="_Hlk163825705"/>
            <w:r>
              <w:rPr>
                <w:rFonts w:ascii="Times New Roman" w:hAnsi="Times New Roman"/>
                <w:b/>
                <w:bCs/>
                <w:sz w:val="28"/>
                <w:szCs w:val="28"/>
              </w:rPr>
              <w:t>пунктів</w:t>
            </w:r>
            <w:r>
              <w:rPr>
                <w:rFonts w:ascii="Times New Roman" w:hAnsi="Times New Roman"/>
                <w:sz w:val="28"/>
                <w:szCs w:val="28"/>
              </w:rPr>
              <w:t xml:space="preserve"> </w:t>
            </w:r>
            <w:r>
              <w:rPr>
                <w:rFonts w:ascii="Times New Roman" w:hAnsi="Times New Roman"/>
                <w:b/>
                <w:bCs/>
                <w:sz w:val="28"/>
                <w:szCs w:val="28"/>
              </w:rPr>
              <w:t>6, 9 Порядку використання коштів, передбачених у державному бюджеті для здійснення заходів з формування позитивного образу ветеранів війни, виготовлення бланків посвідчень та нагрудних знаків, розвитку ветеранського руху, вшанування пам’яті Захисників та Захисниць України, затверджено</w:t>
            </w:r>
            <w:r w:rsidR="004B453E">
              <w:rPr>
                <w:rFonts w:ascii="Times New Roman" w:hAnsi="Times New Roman"/>
                <w:b/>
                <w:bCs/>
                <w:sz w:val="28"/>
                <w:szCs w:val="28"/>
              </w:rPr>
              <w:t>му</w:t>
            </w:r>
            <w:r>
              <w:rPr>
                <w:rFonts w:ascii="Times New Roman" w:hAnsi="Times New Roman"/>
                <w:b/>
                <w:bCs/>
                <w:sz w:val="28"/>
                <w:szCs w:val="28"/>
              </w:rPr>
              <w:t xml:space="preserve"> постановою Кабінету Міністрів України</w:t>
            </w:r>
            <w:r>
              <w:rPr>
                <w:rFonts w:ascii="Times New Roman" w:hAnsi="Times New Roman"/>
                <w:sz w:val="28"/>
                <w:szCs w:val="28"/>
              </w:rPr>
              <w:t xml:space="preserve"> </w:t>
            </w:r>
            <w:r>
              <w:rPr>
                <w:rFonts w:ascii="Times New Roman" w:hAnsi="Times New Roman"/>
                <w:b/>
                <w:bCs/>
                <w:sz w:val="28"/>
                <w:szCs w:val="28"/>
              </w:rPr>
              <w:t>від 08 березня 2024 року № 263</w:t>
            </w:r>
            <w:bookmarkEnd w:id="0"/>
            <w:r>
              <w:rPr>
                <w:rFonts w:ascii="Times New Roman" w:hAnsi="Times New Roman"/>
                <w:sz w:val="28"/>
                <w:szCs w:val="28"/>
              </w:rPr>
              <w:t>, з метою вдосконалення планування, організації проведення та забезпечення ефективного використання бюджетних коштів під час виконання (реалізації) загальнодержавних програм (проєктів, заходів),</w:t>
            </w:r>
          </w:p>
          <w:p w14:paraId="1372D692" w14:textId="77777777" w:rsidR="00833DE1" w:rsidRDefault="00833DE1">
            <w:pPr>
              <w:jc w:val="both"/>
              <w:rPr>
                <w:rFonts w:ascii="Times New Roman" w:hAnsi="Times New Roman"/>
                <w:sz w:val="28"/>
                <w:szCs w:val="28"/>
              </w:rPr>
            </w:pPr>
          </w:p>
          <w:p w14:paraId="5123945D" w14:textId="77777777" w:rsidR="00833DE1" w:rsidRDefault="00833DE1">
            <w:pPr>
              <w:jc w:val="both"/>
              <w:rPr>
                <w:rFonts w:ascii="Times New Roman" w:hAnsi="Times New Roman"/>
                <w:sz w:val="28"/>
                <w:szCs w:val="28"/>
              </w:rPr>
            </w:pPr>
          </w:p>
          <w:p w14:paraId="5CFF999C" w14:textId="77777777" w:rsidR="00833DE1" w:rsidRDefault="00833DE1">
            <w:pPr>
              <w:jc w:val="both"/>
              <w:rPr>
                <w:rFonts w:ascii="Times New Roman" w:hAnsi="Times New Roman"/>
                <w:sz w:val="28"/>
                <w:szCs w:val="28"/>
              </w:rPr>
            </w:pPr>
          </w:p>
          <w:p w14:paraId="54B4F01B" w14:textId="77777777" w:rsidR="00833DE1" w:rsidRDefault="00451B43">
            <w:pPr>
              <w:jc w:val="both"/>
              <w:rPr>
                <w:rFonts w:ascii="Times New Roman" w:hAnsi="Times New Roman"/>
                <w:sz w:val="28"/>
                <w:szCs w:val="28"/>
              </w:rPr>
            </w:pPr>
            <w:r>
              <w:rPr>
                <w:rFonts w:ascii="Times New Roman" w:hAnsi="Times New Roman"/>
                <w:sz w:val="28"/>
                <w:szCs w:val="28"/>
              </w:rPr>
              <w:t>НАКАЗУЮ:</w:t>
            </w:r>
          </w:p>
          <w:p w14:paraId="3C6C0E01" w14:textId="77777777" w:rsidR="00833DE1" w:rsidRDefault="00451B43">
            <w:pPr>
              <w:ind w:firstLine="397"/>
              <w:jc w:val="both"/>
              <w:rPr>
                <w:rFonts w:ascii="Times New Roman" w:hAnsi="Times New Roman"/>
                <w:sz w:val="28"/>
                <w:szCs w:val="28"/>
              </w:rPr>
            </w:pPr>
            <w:r>
              <w:rPr>
                <w:rFonts w:ascii="Times New Roman" w:hAnsi="Times New Roman"/>
                <w:sz w:val="28"/>
                <w:szCs w:val="28"/>
              </w:rPr>
              <w:t>…</w:t>
            </w:r>
          </w:p>
        </w:tc>
      </w:tr>
      <w:tr w:rsidR="00833DE1" w14:paraId="449D6329" w14:textId="77777777" w:rsidTr="0080054B">
        <w:tc>
          <w:tcPr>
            <w:tcW w:w="14840" w:type="dxa"/>
            <w:gridSpan w:val="2"/>
          </w:tcPr>
          <w:p w14:paraId="0778E95E" w14:textId="77777777" w:rsidR="00833DE1" w:rsidRDefault="00451B43">
            <w:pPr>
              <w:ind w:firstLine="567"/>
              <w:jc w:val="center"/>
              <w:rPr>
                <w:rFonts w:ascii="Times New Roman" w:hAnsi="Times New Roman"/>
                <w:b/>
                <w:bCs/>
                <w:sz w:val="28"/>
                <w:szCs w:val="28"/>
              </w:rPr>
            </w:pPr>
            <w:r>
              <w:rPr>
                <w:rFonts w:ascii="Times New Roman" w:hAnsi="Times New Roman"/>
                <w:b/>
                <w:bCs/>
                <w:sz w:val="28"/>
                <w:szCs w:val="28"/>
              </w:rPr>
              <w:lastRenderedPageBreak/>
              <w:t xml:space="preserve">Порядок виконання загальнодержавних програм (проєктів, заходів) </w:t>
            </w:r>
            <w:r>
              <w:rPr>
                <w:rFonts w:ascii="Times New Roman" w:hAnsi="Times New Roman"/>
                <w:b/>
                <w:bCs/>
                <w:sz w:val="28"/>
                <w:szCs w:val="28"/>
              </w:rPr>
              <w:br/>
              <w:t xml:space="preserve">громадськими об’єднаннями ветеранів війни, затверджений наказом Міністерства </w:t>
            </w:r>
            <w:r>
              <w:rPr>
                <w:rFonts w:ascii="Times New Roman" w:hAnsi="Times New Roman"/>
                <w:b/>
                <w:bCs/>
                <w:sz w:val="28"/>
                <w:szCs w:val="28"/>
              </w:rPr>
              <w:br/>
              <w:t xml:space="preserve">у справах ветеранів України від 07 червня 2021 року № 118, зареєстрований </w:t>
            </w:r>
            <w:r>
              <w:rPr>
                <w:rFonts w:ascii="Times New Roman" w:hAnsi="Times New Roman"/>
                <w:b/>
                <w:bCs/>
                <w:sz w:val="28"/>
                <w:szCs w:val="28"/>
              </w:rPr>
              <w:br/>
              <w:t>в Міністерстві юстиції України 29 червня 2021 року за № 852/36474</w:t>
            </w:r>
          </w:p>
        </w:tc>
      </w:tr>
      <w:tr w:rsidR="00833DE1" w14:paraId="6D5BD6EE" w14:textId="77777777" w:rsidTr="00867B15">
        <w:tc>
          <w:tcPr>
            <w:tcW w:w="7420" w:type="dxa"/>
          </w:tcPr>
          <w:p w14:paraId="64F1F595" w14:textId="77777777" w:rsidR="00833DE1" w:rsidRDefault="00451B43">
            <w:pPr>
              <w:ind w:firstLine="567"/>
              <w:jc w:val="both"/>
              <w:rPr>
                <w:rFonts w:ascii="Times New Roman" w:hAnsi="Times New Roman"/>
                <w:sz w:val="28"/>
                <w:szCs w:val="28"/>
              </w:rPr>
            </w:pPr>
            <w:r>
              <w:rPr>
                <w:rFonts w:ascii="Times New Roman" w:hAnsi="Times New Roman"/>
                <w:sz w:val="28"/>
                <w:szCs w:val="28"/>
              </w:rPr>
              <w:t>…</w:t>
            </w:r>
          </w:p>
          <w:p w14:paraId="31673F3B" w14:textId="77777777" w:rsidR="00833DE1" w:rsidRDefault="00451B43">
            <w:pPr>
              <w:ind w:firstLine="567"/>
              <w:jc w:val="both"/>
              <w:rPr>
                <w:rFonts w:ascii="Times New Roman" w:hAnsi="Times New Roman"/>
                <w:sz w:val="28"/>
                <w:szCs w:val="28"/>
              </w:rPr>
            </w:pPr>
            <w:r>
              <w:rPr>
                <w:rFonts w:ascii="Times New Roman" w:hAnsi="Times New Roman"/>
                <w:sz w:val="28"/>
                <w:szCs w:val="28"/>
              </w:rPr>
              <w:t>2. У цьому Порядку терміни вживаються у значеннях, наведених у Порядку проведення конкурсу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 затвердженому постановою Кабінету Міністрів України від 12 жовтня 2011</w:t>
            </w:r>
            <w:r>
              <w:rPr>
                <w:rFonts w:ascii="Times New Roman" w:hAnsi="Times New Roman"/>
                <w:sz w:val="28"/>
                <w:szCs w:val="28"/>
                <w:lang w:val="en-US"/>
              </w:rPr>
              <w:t> </w:t>
            </w:r>
            <w:r>
              <w:rPr>
                <w:rFonts w:ascii="Times New Roman" w:hAnsi="Times New Roman"/>
                <w:sz w:val="28"/>
                <w:szCs w:val="28"/>
              </w:rPr>
              <w:t>року №</w:t>
            </w:r>
            <w:r>
              <w:rPr>
                <w:rFonts w:ascii="Times New Roman" w:hAnsi="Times New Roman"/>
                <w:sz w:val="28"/>
                <w:szCs w:val="28"/>
                <w:lang w:val="en-US"/>
              </w:rPr>
              <w:t> </w:t>
            </w:r>
            <w:r>
              <w:rPr>
                <w:rFonts w:ascii="Times New Roman" w:hAnsi="Times New Roman"/>
                <w:sz w:val="28"/>
                <w:szCs w:val="28"/>
              </w:rPr>
              <w:t xml:space="preserve">1049 (в редакції постанови Кабінету Міністрів України від 04 серпня 2021 року № 802) (далі </w:t>
            </w:r>
            <w:r>
              <w:rPr>
                <w:rFonts w:ascii="Times New Roman" w:hAnsi="Times New Roman"/>
                <w:b/>
                <w:bCs/>
                <w:sz w:val="28"/>
                <w:szCs w:val="28"/>
              </w:rPr>
              <w:t>–</w:t>
            </w:r>
            <w:r>
              <w:rPr>
                <w:rFonts w:ascii="Times New Roman" w:hAnsi="Times New Roman"/>
                <w:sz w:val="28"/>
                <w:szCs w:val="28"/>
              </w:rPr>
              <w:t xml:space="preserve"> Порядок №</w:t>
            </w:r>
            <w:r>
              <w:rPr>
                <w:rFonts w:ascii="Times New Roman" w:hAnsi="Times New Roman"/>
                <w:sz w:val="28"/>
                <w:szCs w:val="28"/>
                <w:lang w:val="en-US"/>
              </w:rPr>
              <w:t> </w:t>
            </w:r>
            <w:r>
              <w:rPr>
                <w:rFonts w:ascii="Times New Roman" w:hAnsi="Times New Roman"/>
                <w:sz w:val="28"/>
                <w:szCs w:val="28"/>
              </w:rPr>
              <w:t xml:space="preserve">1049), та </w:t>
            </w:r>
            <w:bookmarkStart w:id="1" w:name="_Hlk163827316"/>
            <w:r>
              <w:rPr>
                <w:rFonts w:ascii="Times New Roman" w:hAnsi="Times New Roman"/>
                <w:b/>
                <w:bCs/>
                <w:strike/>
                <w:sz w:val="28"/>
                <w:szCs w:val="28"/>
              </w:rPr>
              <w:t>Порядку використання коштів, передбачених у державному бюджеті на фінансову підтримку громадських об’єднань ветеранів на виконання загальнодержавних програм (проєктів, заходів), заходи з відвідування військових поховань і військових пам’ятників та з відзначення святкових, пам’ятних та історичних дат, затвердженому постановою Кабінету Міністрів України від 14 лютого 2018 року № 156 (в редакції постанови Кабінету Міністрів України від 14 квітня 2021 року № 372) (далі - Порядок № 156)</w:t>
            </w:r>
            <w:bookmarkEnd w:id="1"/>
            <w:r>
              <w:rPr>
                <w:rFonts w:ascii="Times New Roman" w:hAnsi="Times New Roman"/>
                <w:sz w:val="28"/>
                <w:szCs w:val="28"/>
              </w:rPr>
              <w:t>.</w:t>
            </w:r>
          </w:p>
          <w:p w14:paraId="60F175B3" w14:textId="77777777" w:rsidR="00833DE1" w:rsidRDefault="00451B43">
            <w:pPr>
              <w:ind w:firstLine="567"/>
              <w:jc w:val="both"/>
              <w:rPr>
                <w:rFonts w:ascii="Times New Roman" w:hAnsi="Times New Roman"/>
                <w:sz w:val="28"/>
                <w:szCs w:val="28"/>
              </w:rPr>
            </w:pPr>
            <w:r>
              <w:rPr>
                <w:rFonts w:ascii="Times New Roman" w:hAnsi="Times New Roman"/>
                <w:sz w:val="28"/>
                <w:szCs w:val="28"/>
              </w:rPr>
              <w:lastRenderedPageBreak/>
              <w:t>…</w:t>
            </w:r>
          </w:p>
        </w:tc>
        <w:tc>
          <w:tcPr>
            <w:tcW w:w="7420" w:type="dxa"/>
          </w:tcPr>
          <w:p w14:paraId="2A3D47DE" w14:textId="77777777" w:rsidR="00833DE1" w:rsidRDefault="00451B43">
            <w:pPr>
              <w:ind w:firstLine="567"/>
              <w:jc w:val="both"/>
              <w:rPr>
                <w:rFonts w:ascii="Times New Roman" w:hAnsi="Times New Roman"/>
                <w:sz w:val="28"/>
                <w:szCs w:val="28"/>
              </w:rPr>
            </w:pPr>
            <w:r>
              <w:rPr>
                <w:rFonts w:ascii="Times New Roman" w:hAnsi="Times New Roman"/>
                <w:sz w:val="28"/>
                <w:szCs w:val="28"/>
              </w:rPr>
              <w:lastRenderedPageBreak/>
              <w:t>…</w:t>
            </w:r>
          </w:p>
          <w:p w14:paraId="0BFAE273" w14:textId="77777777" w:rsidR="00833DE1" w:rsidRDefault="00451B43">
            <w:pPr>
              <w:ind w:firstLine="567"/>
              <w:jc w:val="both"/>
              <w:rPr>
                <w:rFonts w:ascii="Times New Roman" w:hAnsi="Times New Roman"/>
                <w:sz w:val="28"/>
                <w:szCs w:val="28"/>
              </w:rPr>
            </w:pPr>
            <w:r>
              <w:rPr>
                <w:rFonts w:ascii="Times New Roman" w:hAnsi="Times New Roman"/>
                <w:sz w:val="28"/>
                <w:szCs w:val="28"/>
              </w:rPr>
              <w:t>2. У цьому Порядку терміни вживаються у значеннях, наведених у Порядку проведення конкурсу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 затвердженому постановою Кабінету Міністрів України від 12 жовтня 2011</w:t>
            </w:r>
            <w:r>
              <w:rPr>
                <w:rFonts w:ascii="Times New Roman" w:hAnsi="Times New Roman"/>
                <w:sz w:val="28"/>
                <w:szCs w:val="28"/>
                <w:lang w:val="en-US"/>
              </w:rPr>
              <w:t> </w:t>
            </w:r>
            <w:r>
              <w:rPr>
                <w:rFonts w:ascii="Times New Roman" w:hAnsi="Times New Roman"/>
                <w:sz w:val="28"/>
                <w:szCs w:val="28"/>
              </w:rPr>
              <w:t>року №</w:t>
            </w:r>
            <w:r>
              <w:rPr>
                <w:rFonts w:ascii="Times New Roman" w:hAnsi="Times New Roman"/>
                <w:sz w:val="28"/>
                <w:szCs w:val="28"/>
                <w:lang w:val="en-US"/>
              </w:rPr>
              <w:t> </w:t>
            </w:r>
            <w:r>
              <w:rPr>
                <w:rFonts w:ascii="Times New Roman" w:hAnsi="Times New Roman"/>
                <w:sz w:val="28"/>
                <w:szCs w:val="28"/>
              </w:rPr>
              <w:t xml:space="preserve">1049 (в редакції постанови Кабінету Міністрів України від 04 серпня 2021 року № 802) (далі </w:t>
            </w:r>
            <w:r>
              <w:rPr>
                <w:rFonts w:ascii="Times New Roman" w:hAnsi="Times New Roman"/>
                <w:b/>
                <w:bCs/>
                <w:sz w:val="28"/>
                <w:szCs w:val="28"/>
              </w:rPr>
              <w:t>–</w:t>
            </w:r>
            <w:r>
              <w:rPr>
                <w:rFonts w:ascii="Times New Roman" w:hAnsi="Times New Roman"/>
                <w:sz w:val="28"/>
                <w:szCs w:val="28"/>
              </w:rPr>
              <w:t xml:space="preserve"> Порядок №</w:t>
            </w:r>
            <w:r>
              <w:rPr>
                <w:rFonts w:ascii="Times New Roman" w:hAnsi="Times New Roman"/>
                <w:sz w:val="28"/>
                <w:szCs w:val="28"/>
                <w:lang w:val="ru-RU"/>
              </w:rPr>
              <w:t> </w:t>
            </w:r>
            <w:r>
              <w:rPr>
                <w:rFonts w:ascii="Times New Roman" w:hAnsi="Times New Roman"/>
                <w:sz w:val="28"/>
                <w:szCs w:val="28"/>
              </w:rPr>
              <w:t xml:space="preserve">1049), та </w:t>
            </w:r>
            <w:bookmarkStart w:id="2" w:name="_Hlk163827343"/>
            <w:r>
              <w:rPr>
                <w:rFonts w:ascii="Times New Roman" w:hAnsi="Times New Roman"/>
                <w:b/>
                <w:bCs/>
                <w:sz w:val="28"/>
                <w:szCs w:val="28"/>
              </w:rPr>
              <w:t>Порядку використання коштів, передбачених у державному бюджеті для здійснення заходів з формування позитивного образу ветеранів війни, виготовлення бланків посвідчень та нагрудних знаків, розвитку ветеранського руху, вшанування пам’яті Захисників та Захисниць України, затвердженого постановою Кабінету Міністрів України</w:t>
            </w:r>
            <w:r>
              <w:rPr>
                <w:rFonts w:ascii="Times New Roman" w:hAnsi="Times New Roman"/>
                <w:sz w:val="28"/>
                <w:szCs w:val="28"/>
              </w:rPr>
              <w:t xml:space="preserve"> </w:t>
            </w:r>
            <w:r>
              <w:rPr>
                <w:rFonts w:ascii="Times New Roman" w:hAnsi="Times New Roman"/>
                <w:b/>
                <w:bCs/>
                <w:sz w:val="28"/>
                <w:szCs w:val="28"/>
              </w:rPr>
              <w:t>від 08 березня 2024 року № 263 (далі – Порядок № 263)</w:t>
            </w:r>
            <w:bookmarkEnd w:id="2"/>
            <w:r>
              <w:rPr>
                <w:rFonts w:ascii="Times New Roman" w:hAnsi="Times New Roman"/>
                <w:sz w:val="28"/>
                <w:szCs w:val="28"/>
              </w:rPr>
              <w:t>.</w:t>
            </w:r>
          </w:p>
          <w:p w14:paraId="32CDFE3D" w14:textId="77777777" w:rsidR="00833DE1" w:rsidRDefault="00833DE1">
            <w:pPr>
              <w:ind w:firstLine="567"/>
              <w:jc w:val="both"/>
              <w:rPr>
                <w:rFonts w:ascii="Times New Roman" w:hAnsi="Times New Roman"/>
                <w:sz w:val="28"/>
                <w:szCs w:val="28"/>
              </w:rPr>
            </w:pPr>
          </w:p>
          <w:p w14:paraId="132F2411" w14:textId="77777777" w:rsidR="00833DE1" w:rsidRDefault="00833DE1">
            <w:pPr>
              <w:ind w:firstLine="567"/>
              <w:jc w:val="both"/>
              <w:rPr>
                <w:rFonts w:ascii="Times New Roman" w:hAnsi="Times New Roman"/>
                <w:sz w:val="28"/>
                <w:szCs w:val="28"/>
              </w:rPr>
            </w:pPr>
          </w:p>
          <w:p w14:paraId="12875886" w14:textId="77777777" w:rsidR="00833DE1" w:rsidRDefault="00451B43">
            <w:pPr>
              <w:ind w:firstLine="567"/>
              <w:jc w:val="both"/>
              <w:rPr>
                <w:rFonts w:ascii="Times New Roman" w:hAnsi="Times New Roman"/>
                <w:sz w:val="28"/>
                <w:szCs w:val="28"/>
              </w:rPr>
            </w:pPr>
            <w:r>
              <w:rPr>
                <w:rFonts w:ascii="Times New Roman" w:hAnsi="Times New Roman"/>
                <w:sz w:val="28"/>
                <w:szCs w:val="28"/>
              </w:rPr>
              <w:lastRenderedPageBreak/>
              <w:t>…</w:t>
            </w:r>
          </w:p>
        </w:tc>
      </w:tr>
      <w:tr w:rsidR="00833DE1" w14:paraId="41FC2259" w14:textId="77777777" w:rsidTr="00867B15">
        <w:tc>
          <w:tcPr>
            <w:tcW w:w="7420" w:type="dxa"/>
          </w:tcPr>
          <w:p w14:paraId="775168E3" w14:textId="77777777" w:rsidR="00833DE1" w:rsidRDefault="00451B43">
            <w:pPr>
              <w:ind w:firstLine="567"/>
              <w:jc w:val="both"/>
              <w:rPr>
                <w:rFonts w:ascii="Times New Roman" w:hAnsi="Times New Roman"/>
                <w:sz w:val="28"/>
                <w:szCs w:val="28"/>
              </w:rPr>
            </w:pPr>
            <w:r>
              <w:rPr>
                <w:rFonts w:ascii="Times New Roman" w:hAnsi="Times New Roman"/>
                <w:sz w:val="28"/>
                <w:szCs w:val="28"/>
              </w:rPr>
              <w:lastRenderedPageBreak/>
              <w:t>4. Проєкти спрямовуються на реалізацію пріоритетних завдань державної політики з питань, що належать до компетенції Мінветеранів, які щорічно затверджуються наказом Мінветеранів.</w:t>
            </w:r>
          </w:p>
          <w:p w14:paraId="0931B332" w14:textId="77777777" w:rsidR="00833DE1" w:rsidRDefault="00451B43">
            <w:pPr>
              <w:ind w:firstLine="567"/>
              <w:jc w:val="both"/>
              <w:rPr>
                <w:rFonts w:ascii="Times New Roman" w:hAnsi="Times New Roman"/>
                <w:b/>
                <w:bCs/>
                <w:sz w:val="28"/>
                <w:szCs w:val="28"/>
              </w:rPr>
            </w:pPr>
            <w:r>
              <w:rPr>
                <w:rFonts w:ascii="Times New Roman" w:hAnsi="Times New Roman"/>
                <w:b/>
                <w:bCs/>
                <w:sz w:val="28"/>
                <w:szCs w:val="28"/>
              </w:rPr>
              <w:t>абзаци відсутні</w:t>
            </w:r>
          </w:p>
          <w:p w14:paraId="52B439D6" w14:textId="77777777" w:rsidR="00833DE1" w:rsidRDefault="00833DE1">
            <w:pPr>
              <w:ind w:firstLine="567"/>
              <w:jc w:val="both"/>
              <w:rPr>
                <w:rFonts w:ascii="Times New Roman" w:hAnsi="Times New Roman"/>
                <w:b/>
                <w:bCs/>
                <w:sz w:val="28"/>
                <w:szCs w:val="28"/>
              </w:rPr>
            </w:pPr>
          </w:p>
          <w:p w14:paraId="671BBB2E" w14:textId="77777777" w:rsidR="00833DE1" w:rsidRDefault="00833DE1">
            <w:pPr>
              <w:ind w:firstLine="567"/>
              <w:jc w:val="both"/>
              <w:rPr>
                <w:rFonts w:ascii="Times New Roman" w:hAnsi="Times New Roman"/>
                <w:b/>
                <w:bCs/>
                <w:sz w:val="28"/>
                <w:szCs w:val="28"/>
              </w:rPr>
            </w:pPr>
          </w:p>
          <w:p w14:paraId="2DE8B7E4" w14:textId="77777777" w:rsidR="00833DE1" w:rsidRDefault="00833DE1">
            <w:pPr>
              <w:ind w:firstLine="567"/>
              <w:jc w:val="both"/>
              <w:rPr>
                <w:rFonts w:ascii="Times New Roman" w:hAnsi="Times New Roman"/>
                <w:b/>
                <w:bCs/>
                <w:sz w:val="28"/>
                <w:szCs w:val="28"/>
              </w:rPr>
            </w:pPr>
          </w:p>
          <w:p w14:paraId="53E37A0C" w14:textId="77777777" w:rsidR="00833DE1" w:rsidRDefault="00833DE1">
            <w:pPr>
              <w:ind w:firstLine="567"/>
              <w:jc w:val="both"/>
              <w:rPr>
                <w:rFonts w:ascii="Times New Roman" w:hAnsi="Times New Roman"/>
                <w:b/>
                <w:bCs/>
                <w:sz w:val="28"/>
                <w:szCs w:val="28"/>
              </w:rPr>
            </w:pPr>
          </w:p>
          <w:p w14:paraId="58CDFE7E" w14:textId="77777777" w:rsidR="00833DE1" w:rsidRDefault="00833DE1">
            <w:pPr>
              <w:ind w:firstLine="567"/>
              <w:jc w:val="both"/>
              <w:rPr>
                <w:rFonts w:ascii="Times New Roman" w:hAnsi="Times New Roman"/>
                <w:b/>
                <w:bCs/>
                <w:sz w:val="28"/>
                <w:szCs w:val="28"/>
              </w:rPr>
            </w:pPr>
          </w:p>
          <w:p w14:paraId="71A90355" w14:textId="77777777" w:rsidR="00833DE1" w:rsidRDefault="00833DE1">
            <w:pPr>
              <w:ind w:firstLine="567"/>
              <w:jc w:val="both"/>
              <w:rPr>
                <w:rFonts w:ascii="Times New Roman" w:hAnsi="Times New Roman"/>
                <w:b/>
                <w:bCs/>
                <w:sz w:val="28"/>
                <w:szCs w:val="28"/>
              </w:rPr>
            </w:pPr>
          </w:p>
          <w:p w14:paraId="072E3DB5" w14:textId="77777777" w:rsidR="00833DE1" w:rsidRDefault="00833DE1">
            <w:pPr>
              <w:ind w:firstLine="567"/>
              <w:jc w:val="both"/>
              <w:rPr>
                <w:rFonts w:ascii="Times New Roman" w:hAnsi="Times New Roman"/>
                <w:b/>
                <w:bCs/>
                <w:sz w:val="28"/>
                <w:szCs w:val="28"/>
              </w:rPr>
            </w:pPr>
          </w:p>
          <w:p w14:paraId="14020047" w14:textId="77777777" w:rsidR="00833DE1" w:rsidRDefault="00833DE1">
            <w:pPr>
              <w:ind w:firstLine="567"/>
              <w:jc w:val="both"/>
              <w:rPr>
                <w:rFonts w:ascii="Times New Roman" w:hAnsi="Times New Roman"/>
                <w:sz w:val="28"/>
                <w:szCs w:val="28"/>
              </w:rPr>
            </w:pPr>
          </w:p>
          <w:p w14:paraId="2BD16E20" w14:textId="77777777" w:rsidR="00833DE1" w:rsidRDefault="00451B43">
            <w:pPr>
              <w:ind w:firstLine="567"/>
              <w:jc w:val="both"/>
              <w:rPr>
                <w:rFonts w:ascii="Times New Roman" w:hAnsi="Times New Roman"/>
                <w:b/>
                <w:bCs/>
                <w:sz w:val="28"/>
                <w:szCs w:val="28"/>
              </w:rPr>
            </w:pPr>
            <w:r>
              <w:rPr>
                <w:rFonts w:ascii="Times New Roman" w:hAnsi="Times New Roman"/>
                <w:sz w:val="28"/>
                <w:szCs w:val="28"/>
              </w:rPr>
              <w:t>…</w:t>
            </w:r>
          </w:p>
        </w:tc>
        <w:tc>
          <w:tcPr>
            <w:tcW w:w="7420" w:type="dxa"/>
          </w:tcPr>
          <w:p w14:paraId="1C7A7C4C" w14:textId="77777777" w:rsidR="00833DE1" w:rsidRDefault="00451B43">
            <w:pPr>
              <w:ind w:firstLine="567"/>
              <w:jc w:val="both"/>
              <w:rPr>
                <w:rFonts w:ascii="Times New Roman" w:hAnsi="Times New Roman"/>
                <w:sz w:val="28"/>
                <w:szCs w:val="28"/>
              </w:rPr>
            </w:pPr>
            <w:r>
              <w:rPr>
                <w:rFonts w:ascii="Times New Roman" w:hAnsi="Times New Roman"/>
                <w:sz w:val="28"/>
                <w:szCs w:val="28"/>
              </w:rPr>
              <w:t>4. Проєкти спрямовуються на реалізацію пріоритетних завдань державної політики з питань, що належать до компетенції Мінветеранів, які щорічно затверджуються наказом Мінветеранів.</w:t>
            </w:r>
          </w:p>
          <w:p w14:paraId="21FF2BB4" w14:textId="77777777" w:rsidR="00833DE1" w:rsidRDefault="00451B43">
            <w:pPr>
              <w:ind w:firstLine="567"/>
              <w:jc w:val="both"/>
              <w:rPr>
                <w:rFonts w:ascii="Times New Roman" w:hAnsi="Times New Roman"/>
                <w:b/>
                <w:bCs/>
                <w:sz w:val="28"/>
                <w:szCs w:val="28"/>
              </w:rPr>
            </w:pPr>
            <w:r>
              <w:rPr>
                <w:rFonts w:ascii="Times New Roman" w:hAnsi="Times New Roman"/>
                <w:b/>
                <w:bCs/>
                <w:sz w:val="28"/>
                <w:szCs w:val="28"/>
              </w:rPr>
              <w:t>До пріоритетних завдань не можуть бути включені напрями провадження діяльності Українського ветеранського фонду та не можуть бути підтримані проекти громадських об’єднань ветеранів війни, які відповідають річній програмі підтримки проектів Українського ветеранського фонду.</w:t>
            </w:r>
          </w:p>
          <w:p w14:paraId="553C65CA" w14:textId="77777777" w:rsidR="00833DE1" w:rsidRDefault="00451B43">
            <w:pPr>
              <w:ind w:firstLine="567"/>
              <w:jc w:val="both"/>
              <w:rPr>
                <w:rFonts w:ascii="Times New Roman" w:hAnsi="Times New Roman"/>
                <w:b/>
                <w:bCs/>
                <w:sz w:val="28"/>
                <w:szCs w:val="28"/>
              </w:rPr>
            </w:pPr>
            <w:r>
              <w:rPr>
                <w:rFonts w:ascii="Times New Roman" w:hAnsi="Times New Roman"/>
                <w:b/>
                <w:bCs/>
                <w:sz w:val="28"/>
                <w:szCs w:val="28"/>
              </w:rPr>
              <w:t>На період введення воєнного стану в Україні пріоритетні завдання повинні бути спрямовані на розв’язання проблем, актуальних під час воєнного стану.</w:t>
            </w:r>
          </w:p>
          <w:p w14:paraId="0919E894" w14:textId="77777777" w:rsidR="00833DE1" w:rsidRDefault="00451B43">
            <w:pPr>
              <w:ind w:firstLine="567"/>
              <w:jc w:val="both"/>
              <w:rPr>
                <w:rFonts w:ascii="Times New Roman" w:hAnsi="Times New Roman"/>
                <w:sz w:val="28"/>
                <w:szCs w:val="28"/>
              </w:rPr>
            </w:pPr>
            <w:r>
              <w:rPr>
                <w:rFonts w:ascii="Times New Roman" w:hAnsi="Times New Roman"/>
                <w:sz w:val="28"/>
                <w:szCs w:val="28"/>
              </w:rPr>
              <w:t>…</w:t>
            </w:r>
          </w:p>
        </w:tc>
      </w:tr>
      <w:tr w:rsidR="00833DE1" w14:paraId="33D9F100" w14:textId="77777777" w:rsidTr="00867B15">
        <w:tc>
          <w:tcPr>
            <w:tcW w:w="7420" w:type="dxa"/>
          </w:tcPr>
          <w:p w14:paraId="00BE8D19" w14:textId="77777777" w:rsidR="00833DE1" w:rsidRDefault="00451B43">
            <w:pPr>
              <w:ind w:firstLine="567"/>
              <w:jc w:val="both"/>
              <w:rPr>
                <w:rFonts w:ascii="Times New Roman" w:hAnsi="Times New Roman"/>
                <w:sz w:val="28"/>
                <w:szCs w:val="28"/>
              </w:rPr>
            </w:pPr>
            <w:r>
              <w:rPr>
                <w:rFonts w:ascii="Times New Roman" w:hAnsi="Times New Roman"/>
                <w:sz w:val="28"/>
                <w:szCs w:val="28"/>
              </w:rPr>
              <w:t>8. Вибір форми проведення проєкту повинен відповідати змісту, досягненню мети та задоволенню потреб цільової аудиторії.</w:t>
            </w:r>
          </w:p>
          <w:p w14:paraId="2937A69D" w14:textId="77777777" w:rsidR="00833DE1" w:rsidRDefault="00451B43">
            <w:pPr>
              <w:ind w:firstLine="567"/>
              <w:jc w:val="both"/>
              <w:rPr>
                <w:rFonts w:ascii="Times New Roman" w:hAnsi="Times New Roman"/>
                <w:sz w:val="28"/>
                <w:szCs w:val="28"/>
              </w:rPr>
            </w:pPr>
            <w:r>
              <w:rPr>
                <w:rFonts w:ascii="Times New Roman" w:hAnsi="Times New Roman"/>
                <w:sz w:val="28"/>
                <w:szCs w:val="28"/>
              </w:rPr>
              <w:t xml:space="preserve">Проєкти можуть проводитись у формі конференцій, форумів та фестивалів, конкурсів, культурно-мистецьких акцій, оглядів, концертів, семінарів, таборів, </w:t>
            </w:r>
            <w:proofErr w:type="spellStart"/>
            <w:r>
              <w:rPr>
                <w:rFonts w:ascii="Times New Roman" w:hAnsi="Times New Roman"/>
                <w:sz w:val="28"/>
                <w:szCs w:val="28"/>
              </w:rPr>
              <w:t>вишколів</w:t>
            </w:r>
            <w:proofErr w:type="spellEnd"/>
            <w:r>
              <w:rPr>
                <w:rFonts w:ascii="Times New Roman" w:hAnsi="Times New Roman"/>
                <w:sz w:val="28"/>
                <w:szCs w:val="28"/>
              </w:rPr>
              <w:t>, акцій, ігор, круглих столів, зборів-походів, курсів, тренінгів, змагань, зустрічей в закладах освіти, уроків мужності, досліджень, фокус-груп, поїздок ветеранів до місць подій, виставок, зустрічей з обміну досвідом, інформаційних кампаній, інформаційно-просвітницьких заходів, спортивних змагань, турнірів, з’їздів тощо.</w:t>
            </w:r>
          </w:p>
          <w:p w14:paraId="18AAFA6D" w14:textId="77777777" w:rsidR="00867B15" w:rsidRDefault="00867B15">
            <w:pPr>
              <w:ind w:firstLine="567"/>
              <w:jc w:val="both"/>
              <w:rPr>
                <w:rFonts w:ascii="Times New Roman" w:hAnsi="Times New Roman"/>
                <w:sz w:val="28"/>
                <w:szCs w:val="28"/>
              </w:rPr>
            </w:pPr>
          </w:p>
          <w:p w14:paraId="56FFA728" w14:textId="77777777" w:rsidR="00833DE1" w:rsidRDefault="00451B43">
            <w:pPr>
              <w:ind w:firstLine="567"/>
              <w:jc w:val="both"/>
              <w:rPr>
                <w:rFonts w:ascii="Times New Roman" w:hAnsi="Times New Roman"/>
                <w:b/>
                <w:bCs/>
                <w:sz w:val="28"/>
                <w:szCs w:val="28"/>
              </w:rPr>
            </w:pPr>
            <w:r>
              <w:rPr>
                <w:rFonts w:ascii="Times New Roman" w:hAnsi="Times New Roman"/>
                <w:b/>
                <w:bCs/>
                <w:sz w:val="28"/>
                <w:szCs w:val="28"/>
              </w:rPr>
              <w:lastRenderedPageBreak/>
              <w:t>абзац відсутній</w:t>
            </w:r>
          </w:p>
          <w:p w14:paraId="28BC91DF" w14:textId="77777777" w:rsidR="00833DE1" w:rsidRDefault="00833DE1">
            <w:pPr>
              <w:ind w:firstLine="567"/>
              <w:jc w:val="both"/>
              <w:rPr>
                <w:rFonts w:ascii="Times New Roman" w:hAnsi="Times New Roman"/>
                <w:sz w:val="28"/>
                <w:szCs w:val="28"/>
              </w:rPr>
            </w:pPr>
          </w:p>
          <w:p w14:paraId="6534DC32" w14:textId="77777777" w:rsidR="00833DE1" w:rsidRDefault="00833DE1">
            <w:pPr>
              <w:ind w:firstLine="567"/>
              <w:jc w:val="both"/>
              <w:rPr>
                <w:rFonts w:ascii="Times New Roman" w:hAnsi="Times New Roman"/>
                <w:sz w:val="28"/>
                <w:szCs w:val="28"/>
              </w:rPr>
            </w:pPr>
          </w:p>
          <w:p w14:paraId="37F04F3E" w14:textId="77777777" w:rsidR="00833DE1" w:rsidRPr="00573BFA" w:rsidRDefault="00451B43">
            <w:pPr>
              <w:ind w:firstLine="567"/>
              <w:jc w:val="both"/>
              <w:rPr>
                <w:rFonts w:ascii="Times New Roman" w:hAnsi="Times New Roman"/>
                <w:b/>
                <w:bCs/>
                <w:strike/>
                <w:sz w:val="28"/>
                <w:szCs w:val="28"/>
              </w:rPr>
            </w:pPr>
            <w:r>
              <w:rPr>
                <w:rFonts w:ascii="Times New Roman" w:hAnsi="Times New Roman"/>
                <w:sz w:val="28"/>
                <w:szCs w:val="28"/>
              </w:rPr>
              <w:t xml:space="preserve">Переможець конкурсу під час укладення договору може змінити форму проведення заходу за умови дотримання пріоритетного завдання, загальнодержавного рівня </w:t>
            </w:r>
            <w:bookmarkStart w:id="3" w:name="_Hlk168568078"/>
            <w:r w:rsidRPr="00573BFA">
              <w:rPr>
                <w:rFonts w:ascii="Times New Roman" w:hAnsi="Times New Roman"/>
                <w:b/>
                <w:bCs/>
                <w:strike/>
                <w:sz w:val="28"/>
                <w:szCs w:val="28"/>
              </w:rPr>
              <w:t>та очікуваних результатів виконання проєкту</w:t>
            </w:r>
            <w:bookmarkEnd w:id="3"/>
            <w:r w:rsidRPr="00573BFA">
              <w:rPr>
                <w:rFonts w:ascii="Times New Roman" w:hAnsi="Times New Roman"/>
                <w:b/>
                <w:bCs/>
                <w:strike/>
                <w:sz w:val="28"/>
                <w:szCs w:val="28"/>
              </w:rPr>
              <w:t>.</w:t>
            </w:r>
          </w:p>
          <w:p w14:paraId="191CD8A4" w14:textId="77777777" w:rsidR="00833DE1" w:rsidRDefault="00833DE1">
            <w:pPr>
              <w:ind w:firstLine="567"/>
              <w:jc w:val="both"/>
              <w:rPr>
                <w:rFonts w:ascii="Times New Roman" w:hAnsi="Times New Roman"/>
                <w:sz w:val="28"/>
                <w:szCs w:val="28"/>
              </w:rPr>
            </w:pPr>
          </w:p>
          <w:p w14:paraId="02AFBA43" w14:textId="77777777" w:rsidR="00833DE1" w:rsidRDefault="00833DE1">
            <w:pPr>
              <w:ind w:firstLine="567"/>
              <w:jc w:val="both"/>
              <w:rPr>
                <w:rFonts w:ascii="Times New Roman" w:hAnsi="Times New Roman"/>
                <w:sz w:val="28"/>
                <w:szCs w:val="28"/>
              </w:rPr>
            </w:pPr>
          </w:p>
          <w:p w14:paraId="2A895609" w14:textId="77777777" w:rsidR="00833DE1" w:rsidRDefault="00451B43">
            <w:pPr>
              <w:ind w:firstLine="567"/>
              <w:jc w:val="both"/>
              <w:rPr>
                <w:rFonts w:ascii="Times New Roman" w:hAnsi="Times New Roman"/>
                <w:sz w:val="28"/>
                <w:szCs w:val="28"/>
              </w:rPr>
            </w:pPr>
            <w:r>
              <w:rPr>
                <w:rFonts w:ascii="Times New Roman" w:hAnsi="Times New Roman"/>
                <w:sz w:val="28"/>
                <w:szCs w:val="28"/>
              </w:rPr>
              <w:t>…</w:t>
            </w:r>
          </w:p>
        </w:tc>
        <w:tc>
          <w:tcPr>
            <w:tcW w:w="7420" w:type="dxa"/>
          </w:tcPr>
          <w:p w14:paraId="71B66BDD" w14:textId="77777777" w:rsidR="00833DE1" w:rsidRDefault="00451B43">
            <w:pPr>
              <w:ind w:firstLine="567"/>
              <w:jc w:val="both"/>
              <w:rPr>
                <w:rFonts w:ascii="Times New Roman" w:hAnsi="Times New Roman"/>
                <w:sz w:val="28"/>
                <w:szCs w:val="28"/>
              </w:rPr>
            </w:pPr>
            <w:r>
              <w:rPr>
                <w:rFonts w:ascii="Times New Roman" w:hAnsi="Times New Roman"/>
                <w:sz w:val="28"/>
                <w:szCs w:val="28"/>
              </w:rPr>
              <w:lastRenderedPageBreak/>
              <w:t>8. Вибір форми проведення проєкту повинен відповідати змісту, досягненню мети та задоволенню потреб цільової аудиторії.</w:t>
            </w:r>
          </w:p>
          <w:p w14:paraId="7E54F0E5" w14:textId="77777777" w:rsidR="00833DE1" w:rsidRDefault="00451B43">
            <w:pPr>
              <w:ind w:firstLine="567"/>
              <w:jc w:val="both"/>
              <w:rPr>
                <w:rFonts w:ascii="Times New Roman" w:hAnsi="Times New Roman"/>
                <w:sz w:val="28"/>
                <w:szCs w:val="28"/>
              </w:rPr>
            </w:pPr>
            <w:r>
              <w:rPr>
                <w:rFonts w:ascii="Times New Roman" w:hAnsi="Times New Roman"/>
                <w:sz w:val="28"/>
                <w:szCs w:val="28"/>
              </w:rPr>
              <w:t xml:space="preserve">Проєкти можуть проводитись у формі конференцій, форумів та фестивалів, конкурсів, культурно-мистецьких акцій, оглядів, концертів, семінарів, таборів, </w:t>
            </w:r>
            <w:proofErr w:type="spellStart"/>
            <w:r>
              <w:rPr>
                <w:rFonts w:ascii="Times New Roman" w:hAnsi="Times New Roman"/>
                <w:sz w:val="28"/>
                <w:szCs w:val="28"/>
              </w:rPr>
              <w:t>вишколів</w:t>
            </w:r>
            <w:proofErr w:type="spellEnd"/>
            <w:r>
              <w:rPr>
                <w:rFonts w:ascii="Times New Roman" w:hAnsi="Times New Roman"/>
                <w:sz w:val="28"/>
                <w:szCs w:val="28"/>
              </w:rPr>
              <w:t>, акцій, ігор, круглих столів, зборів-походів, курсів, тренінгів, змагань, зустрічей в закладах освіти, уроків мужності, досліджень, фокус-груп, поїздок ветеранів до місць подій, виставок, зустрічей з обміну досвідом, інформаційних кампаній, інформаційно-просвітницьких заходів, спортивних змагань, турнірів, з’їздів тощо.</w:t>
            </w:r>
          </w:p>
          <w:p w14:paraId="1BAA8BE3" w14:textId="77777777" w:rsidR="00833DE1" w:rsidRDefault="00451B43">
            <w:pPr>
              <w:ind w:firstLine="567"/>
              <w:jc w:val="both"/>
              <w:rPr>
                <w:rFonts w:ascii="Times New Roman" w:hAnsi="Times New Roman"/>
                <w:b/>
                <w:bCs/>
                <w:sz w:val="28"/>
                <w:szCs w:val="28"/>
              </w:rPr>
            </w:pPr>
            <w:r>
              <w:rPr>
                <w:rFonts w:ascii="Times New Roman" w:hAnsi="Times New Roman"/>
                <w:b/>
                <w:bCs/>
                <w:sz w:val="28"/>
                <w:szCs w:val="28"/>
              </w:rPr>
              <w:lastRenderedPageBreak/>
              <w:t>На період введення воєнного стану в Україні форма проведення проєкту повинна відповідати вимогам правового режиму воєнного стану.</w:t>
            </w:r>
          </w:p>
          <w:p w14:paraId="78C53F54" w14:textId="77777777" w:rsidR="00833DE1" w:rsidRDefault="00451B43">
            <w:pPr>
              <w:ind w:firstLine="567"/>
              <w:jc w:val="both"/>
              <w:rPr>
                <w:rFonts w:ascii="Times New Roman" w:hAnsi="Times New Roman"/>
                <w:sz w:val="28"/>
                <w:szCs w:val="28"/>
              </w:rPr>
            </w:pPr>
            <w:r>
              <w:rPr>
                <w:rFonts w:ascii="Times New Roman" w:hAnsi="Times New Roman"/>
                <w:sz w:val="28"/>
                <w:szCs w:val="28"/>
              </w:rPr>
              <w:t>Переможець конкурсу під час укладення договору може змінити форму проведення заходу за умови дотримання пріоритетного завдання, загальнодержавного рівня</w:t>
            </w:r>
            <w:bookmarkStart w:id="4" w:name="_Hlk168568097"/>
            <w:r>
              <w:rPr>
                <w:rFonts w:ascii="Times New Roman" w:hAnsi="Times New Roman"/>
                <w:sz w:val="28"/>
                <w:szCs w:val="28"/>
              </w:rPr>
              <w:t xml:space="preserve">, </w:t>
            </w:r>
            <w:r w:rsidRPr="00573BFA">
              <w:rPr>
                <w:rFonts w:ascii="Times New Roman" w:hAnsi="Times New Roman"/>
                <w:b/>
                <w:bCs/>
                <w:sz w:val="28"/>
                <w:szCs w:val="28"/>
              </w:rPr>
              <w:t>очікуваних результатів виконання проєкту</w:t>
            </w:r>
            <w:r>
              <w:rPr>
                <w:rFonts w:ascii="Times New Roman" w:hAnsi="Times New Roman"/>
                <w:sz w:val="28"/>
                <w:szCs w:val="28"/>
              </w:rPr>
              <w:t xml:space="preserve"> </w:t>
            </w:r>
            <w:r>
              <w:rPr>
                <w:rFonts w:ascii="Times New Roman" w:hAnsi="Times New Roman"/>
                <w:b/>
                <w:bCs/>
                <w:sz w:val="28"/>
                <w:szCs w:val="28"/>
              </w:rPr>
              <w:t>та</w:t>
            </w:r>
            <w:r>
              <w:rPr>
                <w:rFonts w:ascii="Times New Roman" w:hAnsi="Times New Roman"/>
                <w:sz w:val="28"/>
                <w:szCs w:val="28"/>
              </w:rPr>
              <w:t xml:space="preserve"> </w:t>
            </w:r>
            <w:r>
              <w:rPr>
                <w:rFonts w:ascii="Times New Roman" w:hAnsi="Times New Roman"/>
                <w:b/>
                <w:bCs/>
                <w:sz w:val="28"/>
                <w:szCs w:val="28"/>
              </w:rPr>
              <w:t>вимог правового режиму воєнного стану (на період введення воєнного стану в Україні)</w:t>
            </w:r>
            <w:r>
              <w:rPr>
                <w:rFonts w:ascii="Times New Roman" w:hAnsi="Times New Roman"/>
                <w:sz w:val="28"/>
                <w:szCs w:val="28"/>
              </w:rPr>
              <w:t>.</w:t>
            </w:r>
            <w:bookmarkEnd w:id="4"/>
          </w:p>
          <w:p w14:paraId="421B7EBD" w14:textId="77777777" w:rsidR="00833DE1" w:rsidRDefault="00451B43">
            <w:pPr>
              <w:ind w:firstLine="567"/>
              <w:jc w:val="both"/>
              <w:rPr>
                <w:rFonts w:ascii="Times New Roman" w:hAnsi="Times New Roman"/>
                <w:sz w:val="28"/>
                <w:szCs w:val="28"/>
              </w:rPr>
            </w:pPr>
            <w:bookmarkStart w:id="5" w:name="n46"/>
            <w:bookmarkEnd w:id="5"/>
            <w:r>
              <w:rPr>
                <w:rFonts w:ascii="Times New Roman" w:hAnsi="Times New Roman"/>
                <w:sz w:val="28"/>
                <w:szCs w:val="28"/>
              </w:rPr>
              <w:t>…</w:t>
            </w:r>
          </w:p>
        </w:tc>
      </w:tr>
      <w:tr w:rsidR="00833DE1" w14:paraId="3C6CB40C" w14:textId="77777777" w:rsidTr="00867B15">
        <w:tc>
          <w:tcPr>
            <w:tcW w:w="7420" w:type="dxa"/>
          </w:tcPr>
          <w:p w14:paraId="4AFF6CC2" w14:textId="77777777" w:rsidR="00833DE1" w:rsidRDefault="00451B43">
            <w:pPr>
              <w:ind w:firstLine="567"/>
              <w:jc w:val="both"/>
              <w:rPr>
                <w:rFonts w:ascii="Times New Roman" w:hAnsi="Times New Roman"/>
                <w:sz w:val="28"/>
                <w:szCs w:val="28"/>
              </w:rPr>
            </w:pPr>
            <w:r>
              <w:rPr>
                <w:rFonts w:ascii="Times New Roman" w:hAnsi="Times New Roman"/>
                <w:sz w:val="28"/>
                <w:szCs w:val="28"/>
              </w:rPr>
              <w:lastRenderedPageBreak/>
              <w:t xml:space="preserve">14. Використання коштів державного бюджету на виконання проєктів здійснюється відповідно до </w:t>
            </w:r>
            <w:bookmarkStart w:id="6" w:name="_Hlk163827429"/>
            <w:r>
              <w:rPr>
                <w:rFonts w:ascii="Times New Roman" w:hAnsi="Times New Roman"/>
                <w:sz w:val="28"/>
                <w:szCs w:val="28"/>
              </w:rPr>
              <w:t>Порядку</w:t>
            </w:r>
            <w:r>
              <w:rPr>
                <w:rFonts w:ascii="Times New Roman" w:hAnsi="Times New Roman"/>
                <w:b/>
                <w:bCs/>
                <w:strike/>
                <w:sz w:val="28"/>
                <w:szCs w:val="28"/>
              </w:rPr>
              <w:t xml:space="preserve"> </w:t>
            </w:r>
            <w:r>
              <w:rPr>
                <w:rFonts w:ascii="Times New Roman" w:hAnsi="Times New Roman"/>
                <w:sz w:val="28"/>
                <w:szCs w:val="28"/>
              </w:rPr>
              <w:t>№ </w:t>
            </w:r>
            <w:r>
              <w:rPr>
                <w:rFonts w:ascii="Times New Roman" w:hAnsi="Times New Roman"/>
                <w:b/>
                <w:bCs/>
                <w:strike/>
                <w:sz w:val="28"/>
                <w:szCs w:val="28"/>
              </w:rPr>
              <w:t>156</w:t>
            </w:r>
            <w:r>
              <w:rPr>
                <w:rFonts w:ascii="Times New Roman" w:hAnsi="Times New Roman"/>
                <w:b/>
                <w:bCs/>
                <w:sz w:val="28"/>
                <w:szCs w:val="28"/>
              </w:rPr>
              <w:t xml:space="preserve"> </w:t>
            </w:r>
            <w:bookmarkEnd w:id="6"/>
            <w:r>
              <w:rPr>
                <w:rFonts w:ascii="Times New Roman" w:hAnsi="Times New Roman"/>
                <w:sz w:val="28"/>
                <w:szCs w:val="28"/>
              </w:rPr>
              <w:t>та паспорта бюджетної програми.</w:t>
            </w:r>
          </w:p>
        </w:tc>
        <w:tc>
          <w:tcPr>
            <w:tcW w:w="7420" w:type="dxa"/>
          </w:tcPr>
          <w:p w14:paraId="43FC2D90" w14:textId="77777777" w:rsidR="00833DE1" w:rsidRDefault="00451B43">
            <w:pPr>
              <w:ind w:firstLine="567"/>
              <w:jc w:val="both"/>
              <w:rPr>
                <w:rFonts w:ascii="Times New Roman" w:hAnsi="Times New Roman"/>
                <w:sz w:val="28"/>
                <w:szCs w:val="28"/>
              </w:rPr>
            </w:pPr>
            <w:r>
              <w:rPr>
                <w:rFonts w:ascii="Times New Roman" w:hAnsi="Times New Roman"/>
                <w:sz w:val="28"/>
                <w:szCs w:val="28"/>
              </w:rPr>
              <w:t xml:space="preserve">14. Використання коштів державного бюджету на виконання проєктів здійснюється відповідно до </w:t>
            </w:r>
            <w:bookmarkStart w:id="7" w:name="_Hlk163827494"/>
            <w:r>
              <w:rPr>
                <w:rFonts w:ascii="Times New Roman" w:hAnsi="Times New Roman"/>
                <w:sz w:val="28"/>
                <w:szCs w:val="28"/>
              </w:rPr>
              <w:t>Порядку</w:t>
            </w:r>
            <w:r>
              <w:rPr>
                <w:rFonts w:ascii="Times New Roman" w:hAnsi="Times New Roman"/>
                <w:b/>
                <w:bCs/>
                <w:sz w:val="28"/>
                <w:szCs w:val="28"/>
              </w:rPr>
              <w:t xml:space="preserve"> </w:t>
            </w:r>
            <w:r>
              <w:rPr>
                <w:rFonts w:ascii="Times New Roman" w:hAnsi="Times New Roman"/>
                <w:sz w:val="28"/>
                <w:szCs w:val="28"/>
              </w:rPr>
              <w:t>№ </w:t>
            </w:r>
            <w:r>
              <w:rPr>
                <w:rFonts w:ascii="Times New Roman" w:hAnsi="Times New Roman"/>
                <w:b/>
                <w:bCs/>
                <w:sz w:val="28"/>
                <w:szCs w:val="28"/>
              </w:rPr>
              <w:t>263</w:t>
            </w:r>
            <w:bookmarkEnd w:id="7"/>
            <w:r>
              <w:rPr>
                <w:rFonts w:ascii="Times New Roman" w:hAnsi="Times New Roman"/>
                <w:sz w:val="28"/>
                <w:szCs w:val="28"/>
              </w:rPr>
              <w:t xml:space="preserve"> та паспорта бюджетної програми.</w:t>
            </w:r>
          </w:p>
        </w:tc>
      </w:tr>
      <w:tr w:rsidR="00833DE1" w14:paraId="34241766" w14:textId="77777777" w:rsidTr="00867B15">
        <w:tc>
          <w:tcPr>
            <w:tcW w:w="7420" w:type="dxa"/>
          </w:tcPr>
          <w:p w14:paraId="3143F5D2" w14:textId="77777777" w:rsidR="00833DE1" w:rsidRDefault="00451B43" w:rsidP="00F15961">
            <w:pPr>
              <w:shd w:val="clear" w:color="auto" w:fill="FFFFFF"/>
              <w:ind w:firstLine="567"/>
              <w:jc w:val="both"/>
              <w:rPr>
                <w:rFonts w:ascii="Times New Roman" w:hAnsi="Times New Roman"/>
                <w:sz w:val="28"/>
                <w:szCs w:val="28"/>
                <w:lang w:eastAsia="uk-UA"/>
              </w:rPr>
            </w:pPr>
            <w:r>
              <w:rPr>
                <w:rFonts w:ascii="Times New Roman" w:hAnsi="Times New Roman"/>
                <w:sz w:val="28"/>
                <w:szCs w:val="28"/>
                <w:lang w:eastAsia="uk-UA"/>
              </w:rPr>
              <w:t>15. Обсяг коштів на виконання проєкту визначається кошторисом витрат та не може бути вищим за суму, що була рекомендована конкурсною комісією за підсумками розгляду проєкту, в тому числі за окремими видами видатків.</w:t>
            </w:r>
          </w:p>
          <w:p w14:paraId="173A3B61" w14:textId="0D700FA6" w:rsidR="00833DE1" w:rsidRDefault="00451B43" w:rsidP="00F15961">
            <w:pPr>
              <w:shd w:val="clear" w:color="auto" w:fill="FFFFFF"/>
              <w:ind w:firstLine="567"/>
              <w:jc w:val="both"/>
              <w:rPr>
                <w:rFonts w:ascii="Times New Roman" w:hAnsi="Times New Roman"/>
                <w:b/>
                <w:bCs/>
                <w:strike/>
                <w:sz w:val="28"/>
                <w:szCs w:val="28"/>
                <w:lang w:eastAsia="uk-UA"/>
              </w:rPr>
            </w:pPr>
            <w:bookmarkStart w:id="8" w:name="n156"/>
            <w:bookmarkEnd w:id="8"/>
            <w:r>
              <w:rPr>
                <w:rFonts w:ascii="Times New Roman" w:hAnsi="Times New Roman"/>
                <w:b/>
                <w:bCs/>
                <w:strike/>
                <w:sz w:val="28"/>
                <w:szCs w:val="28"/>
                <w:lang w:eastAsia="uk-UA"/>
              </w:rPr>
              <w:t>На етапі підписання договору про надання фінансової підтримки до кошторису витрат можуть бути внесені зміни, які не впливають на якість та результативність проєкту.</w:t>
            </w:r>
          </w:p>
          <w:p w14:paraId="3004B3A8" w14:textId="77777777" w:rsidR="00833DE1" w:rsidRDefault="00833DE1" w:rsidP="00F15961">
            <w:pPr>
              <w:shd w:val="clear" w:color="auto" w:fill="FFFFFF"/>
              <w:ind w:firstLine="567"/>
              <w:jc w:val="both"/>
              <w:rPr>
                <w:rFonts w:ascii="Times New Roman" w:hAnsi="Times New Roman"/>
                <w:sz w:val="28"/>
                <w:szCs w:val="28"/>
                <w:lang w:eastAsia="uk-UA"/>
              </w:rPr>
            </w:pPr>
            <w:bookmarkStart w:id="9" w:name="n157"/>
            <w:bookmarkEnd w:id="9"/>
          </w:p>
          <w:p w14:paraId="0652C594" w14:textId="77777777" w:rsidR="00F15961" w:rsidRDefault="00F15961" w:rsidP="00F15961">
            <w:pPr>
              <w:shd w:val="clear" w:color="auto" w:fill="FFFFFF"/>
              <w:ind w:firstLine="567"/>
              <w:jc w:val="both"/>
              <w:rPr>
                <w:rFonts w:ascii="Times New Roman" w:hAnsi="Times New Roman"/>
                <w:sz w:val="28"/>
                <w:szCs w:val="28"/>
                <w:lang w:eastAsia="uk-UA"/>
              </w:rPr>
            </w:pPr>
          </w:p>
          <w:p w14:paraId="3F6D0F72" w14:textId="77777777" w:rsidR="00833DE1" w:rsidRDefault="00833DE1" w:rsidP="00F15961">
            <w:pPr>
              <w:shd w:val="clear" w:color="auto" w:fill="FFFFFF"/>
              <w:ind w:firstLine="567"/>
              <w:jc w:val="both"/>
              <w:rPr>
                <w:rFonts w:ascii="Times New Roman" w:hAnsi="Times New Roman"/>
                <w:sz w:val="28"/>
                <w:szCs w:val="28"/>
                <w:lang w:eastAsia="uk-UA"/>
              </w:rPr>
            </w:pPr>
          </w:p>
          <w:p w14:paraId="55F652F7" w14:textId="77777777" w:rsidR="00833DE1" w:rsidRDefault="00833DE1" w:rsidP="00F15961">
            <w:pPr>
              <w:ind w:firstLine="567"/>
              <w:jc w:val="both"/>
              <w:rPr>
                <w:rFonts w:ascii="Times New Roman" w:hAnsi="Times New Roman"/>
                <w:b/>
                <w:bCs/>
                <w:sz w:val="28"/>
                <w:szCs w:val="28"/>
              </w:rPr>
            </w:pPr>
          </w:p>
          <w:p w14:paraId="65D9C3AA" w14:textId="77777777" w:rsidR="00833DE1" w:rsidRDefault="00451B43" w:rsidP="00F15961">
            <w:pPr>
              <w:ind w:firstLine="567"/>
              <w:jc w:val="both"/>
              <w:rPr>
                <w:rFonts w:ascii="Times New Roman" w:hAnsi="Times New Roman"/>
                <w:b/>
                <w:bCs/>
                <w:sz w:val="28"/>
                <w:szCs w:val="28"/>
              </w:rPr>
            </w:pPr>
            <w:r>
              <w:rPr>
                <w:rFonts w:ascii="Times New Roman" w:hAnsi="Times New Roman"/>
                <w:b/>
                <w:bCs/>
                <w:sz w:val="28"/>
                <w:szCs w:val="28"/>
              </w:rPr>
              <w:t>абзац відсутній</w:t>
            </w:r>
          </w:p>
          <w:p w14:paraId="6E344D36" w14:textId="77777777" w:rsidR="00833DE1" w:rsidRDefault="00833DE1" w:rsidP="00F15961">
            <w:pPr>
              <w:shd w:val="clear" w:color="auto" w:fill="FFFFFF"/>
              <w:ind w:firstLine="567"/>
              <w:jc w:val="both"/>
              <w:rPr>
                <w:rFonts w:ascii="Times New Roman" w:hAnsi="Times New Roman"/>
                <w:sz w:val="28"/>
                <w:szCs w:val="28"/>
                <w:lang w:eastAsia="uk-UA"/>
              </w:rPr>
            </w:pPr>
          </w:p>
          <w:p w14:paraId="67830581" w14:textId="77777777" w:rsidR="00833DE1" w:rsidRDefault="00833DE1" w:rsidP="00F15961">
            <w:pPr>
              <w:shd w:val="clear" w:color="auto" w:fill="FFFFFF"/>
              <w:ind w:firstLine="567"/>
              <w:jc w:val="both"/>
              <w:rPr>
                <w:rFonts w:ascii="Times New Roman" w:hAnsi="Times New Roman"/>
                <w:sz w:val="28"/>
                <w:szCs w:val="28"/>
                <w:lang w:eastAsia="uk-UA"/>
              </w:rPr>
            </w:pPr>
          </w:p>
          <w:p w14:paraId="28770D7E" w14:textId="77777777" w:rsidR="00833DE1" w:rsidRDefault="00833DE1" w:rsidP="00F15961">
            <w:pPr>
              <w:shd w:val="clear" w:color="auto" w:fill="FFFFFF"/>
              <w:ind w:firstLine="567"/>
              <w:jc w:val="both"/>
              <w:rPr>
                <w:rFonts w:ascii="Times New Roman" w:hAnsi="Times New Roman"/>
                <w:sz w:val="28"/>
                <w:szCs w:val="28"/>
                <w:lang w:eastAsia="uk-UA"/>
              </w:rPr>
            </w:pPr>
          </w:p>
          <w:p w14:paraId="12B50534" w14:textId="77777777" w:rsidR="00F15961" w:rsidRDefault="00F15961" w:rsidP="00F15961">
            <w:pPr>
              <w:shd w:val="clear" w:color="auto" w:fill="FFFFFF"/>
              <w:ind w:firstLine="567"/>
              <w:jc w:val="both"/>
              <w:rPr>
                <w:rFonts w:ascii="Times New Roman" w:hAnsi="Times New Roman"/>
                <w:sz w:val="28"/>
                <w:szCs w:val="28"/>
                <w:lang w:eastAsia="uk-UA"/>
              </w:rPr>
            </w:pPr>
          </w:p>
          <w:p w14:paraId="51FBC235" w14:textId="77777777" w:rsidR="00F15961" w:rsidRDefault="00F15961" w:rsidP="00F15961">
            <w:pPr>
              <w:shd w:val="clear" w:color="auto" w:fill="FFFFFF"/>
              <w:ind w:firstLine="567"/>
              <w:jc w:val="both"/>
              <w:rPr>
                <w:rFonts w:ascii="Times New Roman" w:hAnsi="Times New Roman"/>
                <w:sz w:val="28"/>
                <w:szCs w:val="28"/>
                <w:lang w:eastAsia="uk-UA"/>
              </w:rPr>
            </w:pPr>
          </w:p>
          <w:p w14:paraId="6377516D" w14:textId="77777777" w:rsidR="00867B15" w:rsidRDefault="00867B15" w:rsidP="00F15961">
            <w:pPr>
              <w:shd w:val="clear" w:color="auto" w:fill="FFFFFF"/>
              <w:ind w:firstLine="567"/>
              <w:jc w:val="both"/>
              <w:rPr>
                <w:rFonts w:ascii="Times New Roman" w:hAnsi="Times New Roman"/>
                <w:sz w:val="28"/>
                <w:szCs w:val="28"/>
                <w:lang w:eastAsia="uk-UA"/>
              </w:rPr>
            </w:pPr>
          </w:p>
          <w:p w14:paraId="01130D80" w14:textId="77777777" w:rsidR="00F15961" w:rsidRDefault="00F15961" w:rsidP="00F15961">
            <w:pPr>
              <w:shd w:val="clear" w:color="auto" w:fill="FFFFFF"/>
              <w:ind w:firstLine="567"/>
              <w:jc w:val="both"/>
              <w:rPr>
                <w:rFonts w:ascii="Times New Roman" w:hAnsi="Times New Roman"/>
                <w:sz w:val="28"/>
                <w:szCs w:val="28"/>
                <w:lang w:eastAsia="uk-UA"/>
              </w:rPr>
            </w:pPr>
          </w:p>
          <w:p w14:paraId="4CE378AF" w14:textId="77777777" w:rsidR="00F15961" w:rsidRDefault="00F15961" w:rsidP="00F15961">
            <w:pPr>
              <w:shd w:val="clear" w:color="auto" w:fill="FFFFFF"/>
              <w:ind w:firstLine="567"/>
              <w:jc w:val="both"/>
              <w:rPr>
                <w:rFonts w:ascii="Times New Roman" w:hAnsi="Times New Roman"/>
                <w:sz w:val="28"/>
                <w:szCs w:val="28"/>
                <w:lang w:eastAsia="uk-UA"/>
              </w:rPr>
            </w:pPr>
          </w:p>
          <w:p w14:paraId="1A12C18A" w14:textId="77777777" w:rsidR="00F15961" w:rsidRDefault="00F15961" w:rsidP="00F15961">
            <w:pPr>
              <w:shd w:val="clear" w:color="auto" w:fill="FFFFFF"/>
              <w:ind w:firstLine="567"/>
              <w:jc w:val="both"/>
              <w:rPr>
                <w:rFonts w:ascii="Times New Roman" w:hAnsi="Times New Roman"/>
                <w:sz w:val="28"/>
                <w:szCs w:val="28"/>
                <w:lang w:eastAsia="uk-UA"/>
              </w:rPr>
            </w:pPr>
          </w:p>
          <w:p w14:paraId="7E7A286A" w14:textId="2513E62A" w:rsidR="00833DE1" w:rsidRDefault="00867B15" w:rsidP="00F15961">
            <w:pPr>
              <w:shd w:val="clear" w:color="auto" w:fill="FFFFFF"/>
              <w:ind w:firstLine="567"/>
              <w:jc w:val="both"/>
              <w:rPr>
                <w:rFonts w:ascii="Times New Roman" w:hAnsi="Times New Roman"/>
                <w:sz w:val="28"/>
                <w:szCs w:val="28"/>
              </w:rPr>
            </w:pPr>
            <w:r w:rsidRPr="00867B15">
              <w:rPr>
                <w:rFonts w:ascii="Times New Roman" w:hAnsi="Times New Roman"/>
                <w:sz w:val="28"/>
                <w:szCs w:val="28"/>
                <w:lang w:eastAsia="uk-UA"/>
              </w:rPr>
              <w:t>Розрахунки за кожним напрямом видатків здійснюються з урахуванням особливостей проведення конкретного заходу.</w:t>
            </w:r>
          </w:p>
        </w:tc>
        <w:tc>
          <w:tcPr>
            <w:tcW w:w="7420" w:type="dxa"/>
          </w:tcPr>
          <w:p w14:paraId="2F6D5F53"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lastRenderedPageBreak/>
              <w:t>15. Обсяг коштів на виконання проєкту визначається кошторисом витрат та не може бути вищим за суму, що була рекомендована конкурсною комісією за підсумками розгляду проєкту, в тому числі за окремими видами видатків.</w:t>
            </w:r>
          </w:p>
          <w:p w14:paraId="11EEAD86" w14:textId="04500D38" w:rsidR="00833DE1" w:rsidRDefault="00451B43" w:rsidP="00F15961">
            <w:pPr>
              <w:pStyle w:val="rvps2"/>
              <w:shd w:val="clear" w:color="auto" w:fill="FFFFFF"/>
              <w:spacing w:before="0" w:beforeAutospacing="0" w:after="0" w:afterAutospacing="0"/>
              <w:ind w:firstLine="567"/>
              <w:jc w:val="both"/>
              <w:rPr>
                <w:b/>
                <w:bCs/>
                <w:color w:val="000000"/>
                <w:sz w:val="32"/>
                <w:szCs w:val="32"/>
              </w:rPr>
            </w:pPr>
            <w:bookmarkStart w:id="10" w:name="_Hlk168497011"/>
            <w:r>
              <w:rPr>
                <w:b/>
                <w:bCs/>
                <w:color w:val="000000"/>
                <w:sz w:val="28"/>
                <w:szCs w:val="28"/>
              </w:rPr>
              <w:t xml:space="preserve">На етапі підписання договорів з переможцями конкурсу обсяг бюджетних коштів на виконання проєкту може бути змінений з метою приведення кошторису </w:t>
            </w:r>
            <w:r w:rsidR="00526226">
              <w:rPr>
                <w:b/>
                <w:bCs/>
                <w:color w:val="000000"/>
                <w:sz w:val="28"/>
                <w:szCs w:val="28"/>
              </w:rPr>
              <w:t xml:space="preserve">витрат </w:t>
            </w:r>
            <w:r>
              <w:rPr>
                <w:b/>
                <w:bCs/>
                <w:color w:val="000000"/>
                <w:sz w:val="28"/>
                <w:szCs w:val="28"/>
              </w:rPr>
              <w:t>у відповідність з вимогами бюджетного законодавства та принципами економного</w:t>
            </w:r>
            <w:r w:rsidR="00556B54">
              <w:rPr>
                <w:b/>
                <w:bCs/>
                <w:color w:val="000000"/>
                <w:sz w:val="28"/>
                <w:szCs w:val="28"/>
              </w:rPr>
              <w:t xml:space="preserve">, </w:t>
            </w:r>
            <w:r w:rsidR="00556B54" w:rsidRPr="007C16D0">
              <w:rPr>
                <w:b/>
                <w:bCs/>
                <w:sz w:val="28"/>
                <w:szCs w:val="28"/>
              </w:rPr>
              <w:t>результативного та</w:t>
            </w:r>
            <w:r w:rsidRPr="007C16D0">
              <w:rPr>
                <w:b/>
                <w:bCs/>
                <w:sz w:val="28"/>
                <w:szCs w:val="28"/>
              </w:rPr>
              <w:t xml:space="preserve"> ефективного використання бюджетних коштів</w:t>
            </w:r>
            <w:r w:rsidR="00556B54" w:rsidRPr="007C16D0">
              <w:rPr>
                <w:b/>
                <w:bCs/>
                <w:sz w:val="28"/>
                <w:szCs w:val="28"/>
              </w:rPr>
              <w:t xml:space="preserve"> під час виконання</w:t>
            </w:r>
            <w:r w:rsidR="007C16D0" w:rsidRPr="007C16D0">
              <w:rPr>
                <w:b/>
                <w:bCs/>
                <w:sz w:val="28"/>
                <w:szCs w:val="28"/>
              </w:rPr>
              <w:t xml:space="preserve"> проєктів</w:t>
            </w:r>
            <w:r>
              <w:rPr>
                <w:b/>
                <w:bCs/>
                <w:color w:val="000000"/>
                <w:sz w:val="28"/>
                <w:szCs w:val="28"/>
              </w:rPr>
              <w:t>, але не може перевищувати рекомендованого конкурсною комісією обсягу бюджетних коштів.</w:t>
            </w:r>
          </w:p>
          <w:p w14:paraId="0C83B444" w14:textId="07290A13" w:rsidR="00833DE1" w:rsidRDefault="00451B43" w:rsidP="00F15961">
            <w:pPr>
              <w:pStyle w:val="rvps2"/>
              <w:shd w:val="clear" w:color="auto" w:fill="FFFFFF"/>
              <w:spacing w:before="0" w:beforeAutospacing="0" w:after="0" w:afterAutospacing="0"/>
              <w:ind w:firstLine="567"/>
              <w:jc w:val="both"/>
              <w:rPr>
                <w:b/>
                <w:bCs/>
                <w:color w:val="000000"/>
                <w:sz w:val="28"/>
                <w:szCs w:val="28"/>
              </w:rPr>
            </w:pPr>
            <w:bookmarkStart w:id="11" w:name="n45"/>
            <w:bookmarkStart w:id="12" w:name="_Hlk168497092"/>
            <w:bookmarkEnd w:id="10"/>
            <w:bookmarkEnd w:id="11"/>
            <w:r>
              <w:rPr>
                <w:b/>
                <w:bCs/>
                <w:color w:val="000000"/>
                <w:sz w:val="28"/>
                <w:szCs w:val="28"/>
              </w:rPr>
              <w:t xml:space="preserve">Переможець конкурсу на етапі підписання договорів та затвердження кошторису витрат у межах </w:t>
            </w:r>
            <w:r>
              <w:rPr>
                <w:b/>
                <w:bCs/>
                <w:color w:val="000000"/>
                <w:sz w:val="28"/>
                <w:szCs w:val="28"/>
              </w:rPr>
              <w:lastRenderedPageBreak/>
              <w:t xml:space="preserve">затвердженого обсягу видатків на проєкт може надавати уточнені розрахунки витрат, пов’язані із зміною діючих норм і нормативів, цін і тарифів на товари та послуги. Збільшення загального обсягу витрат за однією </w:t>
            </w:r>
            <w:r w:rsidR="00CA38E6">
              <w:rPr>
                <w:b/>
                <w:bCs/>
                <w:color w:val="000000"/>
                <w:sz w:val="28"/>
                <w:szCs w:val="28"/>
              </w:rPr>
              <w:t>категорією</w:t>
            </w:r>
            <w:r>
              <w:rPr>
                <w:b/>
                <w:bCs/>
                <w:color w:val="000000"/>
                <w:sz w:val="28"/>
                <w:szCs w:val="28"/>
              </w:rPr>
              <w:t xml:space="preserve"> або включення </w:t>
            </w:r>
            <w:r w:rsidR="00CA38E6">
              <w:rPr>
                <w:b/>
                <w:bCs/>
                <w:color w:val="000000"/>
                <w:sz w:val="28"/>
                <w:szCs w:val="28"/>
              </w:rPr>
              <w:t>категорі</w:t>
            </w:r>
            <w:r w:rsidR="00DB3A74">
              <w:rPr>
                <w:b/>
                <w:bCs/>
                <w:color w:val="000000"/>
                <w:sz w:val="28"/>
                <w:szCs w:val="28"/>
              </w:rPr>
              <w:t>й</w:t>
            </w:r>
            <w:r>
              <w:rPr>
                <w:b/>
                <w:bCs/>
                <w:color w:val="000000"/>
                <w:sz w:val="28"/>
                <w:szCs w:val="28"/>
              </w:rPr>
              <w:t>, які не були передбачені проєктом, але безпосередньо пов’язані з цілями проєкту, можливі лише за поданням переможцем конкурсу відповідного обґрунтування.</w:t>
            </w:r>
          </w:p>
          <w:bookmarkEnd w:id="12"/>
          <w:p w14:paraId="33A74C3A" w14:textId="449CF32B" w:rsidR="00833DE1" w:rsidRDefault="00867B15" w:rsidP="00F15961">
            <w:pPr>
              <w:ind w:firstLine="567"/>
              <w:jc w:val="both"/>
              <w:rPr>
                <w:rFonts w:ascii="Times New Roman" w:hAnsi="Times New Roman"/>
                <w:sz w:val="28"/>
                <w:szCs w:val="28"/>
              </w:rPr>
            </w:pPr>
            <w:r w:rsidRPr="00867B15">
              <w:rPr>
                <w:rFonts w:ascii="Times New Roman" w:hAnsi="Times New Roman"/>
                <w:sz w:val="28"/>
                <w:szCs w:val="28"/>
              </w:rPr>
              <w:t>Розрахунки за кожним напрямом видатків здійснюються з урахуванням особливостей проведення конкретного заходу.</w:t>
            </w:r>
          </w:p>
        </w:tc>
      </w:tr>
      <w:tr w:rsidR="00A560DD" w14:paraId="67C09B5F" w14:textId="77777777" w:rsidTr="00867B15">
        <w:tc>
          <w:tcPr>
            <w:tcW w:w="7420" w:type="dxa"/>
          </w:tcPr>
          <w:p w14:paraId="42D773F8" w14:textId="77777777" w:rsidR="00A560DD" w:rsidRPr="00A560DD" w:rsidRDefault="00A560DD" w:rsidP="00A560DD">
            <w:pPr>
              <w:ind w:firstLine="567"/>
              <w:jc w:val="both"/>
              <w:rPr>
                <w:rFonts w:ascii="Times New Roman" w:hAnsi="Times New Roman"/>
                <w:sz w:val="28"/>
                <w:szCs w:val="28"/>
              </w:rPr>
            </w:pPr>
            <w:r w:rsidRPr="00A560DD">
              <w:rPr>
                <w:rFonts w:ascii="Times New Roman" w:hAnsi="Times New Roman"/>
                <w:sz w:val="28"/>
                <w:szCs w:val="28"/>
              </w:rPr>
              <w:lastRenderedPageBreak/>
              <w:t>16. Забороняється планування бюджетних коштів, передбачених на виконання проєктів, на:</w:t>
            </w:r>
          </w:p>
          <w:p w14:paraId="3F851404" w14:textId="77777777" w:rsidR="00A560DD" w:rsidRPr="00A560DD" w:rsidRDefault="00A560DD" w:rsidP="00A560DD">
            <w:pPr>
              <w:ind w:firstLine="567"/>
              <w:jc w:val="both"/>
              <w:rPr>
                <w:rFonts w:ascii="Times New Roman" w:hAnsi="Times New Roman"/>
                <w:b/>
                <w:bCs/>
                <w:strike/>
                <w:sz w:val="28"/>
                <w:szCs w:val="28"/>
              </w:rPr>
            </w:pPr>
            <w:r w:rsidRPr="00A560DD">
              <w:rPr>
                <w:rFonts w:ascii="Times New Roman" w:hAnsi="Times New Roman"/>
                <w:b/>
                <w:bCs/>
                <w:strike/>
                <w:sz w:val="28"/>
                <w:szCs w:val="28"/>
              </w:rPr>
              <w:t>придбання основних засобів (меблів, оргтехніки, комп’ютерів, транспортних засобів тощо);</w:t>
            </w:r>
          </w:p>
          <w:p w14:paraId="1CA1AF40" w14:textId="77777777" w:rsidR="00867B15" w:rsidRDefault="00867B15" w:rsidP="00A560DD">
            <w:pPr>
              <w:ind w:firstLine="567"/>
              <w:jc w:val="both"/>
              <w:rPr>
                <w:rFonts w:ascii="Times New Roman" w:hAnsi="Times New Roman"/>
                <w:b/>
                <w:bCs/>
                <w:strike/>
                <w:sz w:val="28"/>
                <w:szCs w:val="28"/>
              </w:rPr>
            </w:pPr>
          </w:p>
          <w:p w14:paraId="2E28FA4D" w14:textId="77777777" w:rsidR="00867B15" w:rsidRDefault="00867B15" w:rsidP="00A560DD">
            <w:pPr>
              <w:ind w:firstLine="567"/>
              <w:jc w:val="both"/>
              <w:rPr>
                <w:rFonts w:ascii="Times New Roman" w:hAnsi="Times New Roman"/>
                <w:b/>
                <w:bCs/>
                <w:strike/>
                <w:sz w:val="28"/>
                <w:szCs w:val="28"/>
              </w:rPr>
            </w:pPr>
          </w:p>
          <w:p w14:paraId="13565953" w14:textId="77777777" w:rsidR="00867B15" w:rsidRDefault="00867B15" w:rsidP="00A560DD">
            <w:pPr>
              <w:ind w:firstLine="567"/>
              <w:jc w:val="both"/>
              <w:rPr>
                <w:rFonts w:ascii="Times New Roman" w:hAnsi="Times New Roman"/>
                <w:b/>
                <w:bCs/>
                <w:strike/>
                <w:sz w:val="28"/>
                <w:szCs w:val="28"/>
              </w:rPr>
            </w:pPr>
          </w:p>
          <w:p w14:paraId="02671C45" w14:textId="77777777" w:rsidR="00867B15" w:rsidRDefault="00867B15" w:rsidP="00A560DD">
            <w:pPr>
              <w:ind w:firstLine="567"/>
              <w:jc w:val="both"/>
              <w:rPr>
                <w:rFonts w:ascii="Times New Roman" w:hAnsi="Times New Roman"/>
                <w:b/>
                <w:bCs/>
                <w:strike/>
                <w:sz w:val="28"/>
                <w:szCs w:val="28"/>
              </w:rPr>
            </w:pPr>
          </w:p>
          <w:p w14:paraId="789B51EF" w14:textId="72AD6E23" w:rsidR="00A560DD" w:rsidRPr="008414AF" w:rsidRDefault="00A560DD" w:rsidP="00A560DD">
            <w:pPr>
              <w:ind w:firstLine="567"/>
              <w:jc w:val="both"/>
              <w:rPr>
                <w:rFonts w:ascii="Times New Roman" w:hAnsi="Times New Roman"/>
                <w:b/>
                <w:bCs/>
                <w:strike/>
                <w:sz w:val="28"/>
                <w:szCs w:val="28"/>
              </w:rPr>
            </w:pPr>
            <w:r w:rsidRPr="008414AF">
              <w:rPr>
                <w:rFonts w:ascii="Times New Roman" w:hAnsi="Times New Roman"/>
                <w:b/>
                <w:bCs/>
                <w:strike/>
                <w:sz w:val="28"/>
                <w:szCs w:val="28"/>
              </w:rPr>
              <w:t>реалізацію проєктів та проведення заходів, метою яких є отримання прибутку;</w:t>
            </w:r>
          </w:p>
          <w:p w14:paraId="0489FB93" w14:textId="77777777" w:rsidR="00A560DD" w:rsidRPr="008414AF" w:rsidRDefault="00A560DD" w:rsidP="00A560DD">
            <w:pPr>
              <w:ind w:firstLine="567"/>
              <w:jc w:val="both"/>
              <w:rPr>
                <w:rFonts w:ascii="Times New Roman" w:hAnsi="Times New Roman"/>
                <w:b/>
                <w:bCs/>
                <w:strike/>
                <w:sz w:val="28"/>
                <w:szCs w:val="28"/>
              </w:rPr>
            </w:pPr>
            <w:r w:rsidRPr="008414AF">
              <w:rPr>
                <w:rFonts w:ascii="Times New Roman" w:hAnsi="Times New Roman"/>
                <w:b/>
                <w:bCs/>
                <w:strike/>
                <w:sz w:val="28"/>
                <w:szCs w:val="28"/>
              </w:rPr>
              <w:t>придбання послуг посередників;</w:t>
            </w:r>
          </w:p>
          <w:p w14:paraId="4F38CF00" w14:textId="3711B5E4" w:rsidR="00A560DD" w:rsidRPr="00A560DD" w:rsidRDefault="00A560DD" w:rsidP="00A560DD">
            <w:pPr>
              <w:ind w:firstLine="567"/>
              <w:jc w:val="both"/>
              <w:rPr>
                <w:rFonts w:ascii="Times New Roman" w:hAnsi="Times New Roman"/>
                <w:sz w:val="28"/>
                <w:szCs w:val="28"/>
              </w:rPr>
            </w:pPr>
            <w:r w:rsidRPr="00A560DD">
              <w:rPr>
                <w:rFonts w:ascii="Times New Roman" w:hAnsi="Times New Roman"/>
                <w:sz w:val="28"/>
                <w:szCs w:val="28"/>
              </w:rPr>
              <w:t>надання кредитів, безповоротної фінансової допомоги;</w:t>
            </w:r>
          </w:p>
          <w:p w14:paraId="76E3C2C0" w14:textId="6CD1A1E5" w:rsidR="00A560DD" w:rsidRDefault="00A560DD" w:rsidP="00A560DD">
            <w:pPr>
              <w:ind w:firstLine="567"/>
              <w:jc w:val="both"/>
              <w:rPr>
                <w:rFonts w:ascii="Times New Roman" w:hAnsi="Times New Roman"/>
                <w:sz w:val="28"/>
                <w:szCs w:val="28"/>
              </w:rPr>
            </w:pPr>
            <w:r w:rsidRPr="00A560DD">
              <w:rPr>
                <w:rFonts w:ascii="Times New Roman" w:hAnsi="Times New Roman"/>
                <w:sz w:val="28"/>
                <w:szCs w:val="28"/>
              </w:rPr>
              <w:t>здійснення грошових виплат (премій, стипендій, винагород, матеріальної допомоги), надання коштів фізичним та юридичним особам для придбання матеріальних цінностей.</w:t>
            </w:r>
          </w:p>
        </w:tc>
        <w:tc>
          <w:tcPr>
            <w:tcW w:w="7420" w:type="dxa"/>
          </w:tcPr>
          <w:p w14:paraId="3F9A707B" w14:textId="77777777" w:rsidR="00A560DD" w:rsidRPr="00A560DD" w:rsidRDefault="00A560DD" w:rsidP="00A560DD">
            <w:pPr>
              <w:ind w:firstLine="567"/>
              <w:jc w:val="both"/>
              <w:rPr>
                <w:rFonts w:ascii="Times New Roman" w:hAnsi="Times New Roman"/>
                <w:sz w:val="28"/>
                <w:szCs w:val="28"/>
              </w:rPr>
            </w:pPr>
            <w:r w:rsidRPr="00A560DD">
              <w:rPr>
                <w:rFonts w:ascii="Times New Roman" w:hAnsi="Times New Roman"/>
                <w:sz w:val="28"/>
                <w:szCs w:val="28"/>
              </w:rPr>
              <w:t>16. Забороняється планування бюджетних коштів, передбачених на виконання проєктів, на:</w:t>
            </w:r>
          </w:p>
          <w:p w14:paraId="22D9F83A" w14:textId="033F961E" w:rsidR="00A560DD" w:rsidRPr="00A560DD" w:rsidRDefault="00A560DD" w:rsidP="00A560DD">
            <w:pPr>
              <w:ind w:firstLine="567"/>
              <w:jc w:val="both"/>
              <w:rPr>
                <w:rFonts w:ascii="Times New Roman" w:hAnsi="Times New Roman"/>
                <w:b/>
                <w:bCs/>
                <w:sz w:val="28"/>
                <w:szCs w:val="28"/>
              </w:rPr>
            </w:pPr>
            <w:bookmarkStart w:id="13" w:name="_Hlk168642729"/>
            <w:bookmarkStart w:id="14" w:name="_Hlk169086050"/>
            <w:r w:rsidRPr="00A560DD">
              <w:rPr>
                <w:rFonts w:ascii="Times New Roman" w:hAnsi="Times New Roman"/>
                <w:b/>
                <w:bCs/>
                <w:sz w:val="28"/>
                <w:szCs w:val="28"/>
              </w:rPr>
              <w:t xml:space="preserve">придбання основних засобів (меблів, оргтехніки, комп’ютерів, транспортних засобів тощо), а також на утримання громадських об’єднань ветеранів війни, установ, організацій, зокрема тих, що </w:t>
            </w:r>
            <w:bookmarkStart w:id="15" w:name="_Hlk169085605"/>
            <w:r w:rsidRPr="00A560DD">
              <w:rPr>
                <w:rFonts w:ascii="Times New Roman" w:hAnsi="Times New Roman"/>
                <w:b/>
                <w:bCs/>
                <w:sz w:val="28"/>
                <w:szCs w:val="28"/>
              </w:rPr>
              <w:t xml:space="preserve">є </w:t>
            </w:r>
            <w:bookmarkStart w:id="16" w:name="_Hlk169085680"/>
            <w:r w:rsidRPr="00A560DD">
              <w:rPr>
                <w:rFonts w:ascii="Times New Roman" w:hAnsi="Times New Roman"/>
                <w:b/>
                <w:bCs/>
                <w:sz w:val="28"/>
                <w:szCs w:val="28"/>
              </w:rPr>
              <w:t>учасниками заходів з героїзації ветеран</w:t>
            </w:r>
            <w:r w:rsidR="00867B15">
              <w:rPr>
                <w:rFonts w:ascii="Times New Roman" w:hAnsi="Times New Roman"/>
                <w:b/>
                <w:bCs/>
                <w:sz w:val="28"/>
                <w:szCs w:val="28"/>
              </w:rPr>
              <w:t>ів</w:t>
            </w:r>
            <w:r w:rsidRPr="00A560DD">
              <w:rPr>
                <w:rFonts w:ascii="Times New Roman" w:hAnsi="Times New Roman"/>
                <w:b/>
                <w:bCs/>
                <w:sz w:val="28"/>
                <w:szCs w:val="28"/>
              </w:rPr>
              <w:t xml:space="preserve"> війни </w:t>
            </w:r>
            <w:bookmarkEnd w:id="15"/>
            <w:r w:rsidRPr="00A560DD">
              <w:rPr>
                <w:rFonts w:ascii="Times New Roman" w:hAnsi="Times New Roman"/>
                <w:b/>
                <w:bCs/>
                <w:sz w:val="28"/>
                <w:szCs w:val="28"/>
              </w:rPr>
              <w:t>та вшанування пам’яті загиблих (померлих) захисників України</w:t>
            </w:r>
            <w:bookmarkEnd w:id="16"/>
            <w:r w:rsidRPr="00A560DD">
              <w:rPr>
                <w:rFonts w:ascii="Times New Roman" w:hAnsi="Times New Roman"/>
                <w:b/>
                <w:bCs/>
                <w:sz w:val="28"/>
                <w:szCs w:val="28"/>
              </w:rPr>
              <w:t>;</w:t>
            </w:r>
          </w:p>
          <w:p w14:paraId="1F147EDF" w14:textId="03A722A2" w:rsidR="00A560DD" w:rsidRPr="00A560DD" w:rsidRDefault="008414AF" w:rsidP="00A560DD">
            <w:pPr>
              <w:ind w:firstLine="567"/>
              <w:jc w:val="both"/>
              <w:rPr>
                <w:rFonts w:ascii="Times New Roman" w:hAnsi="Times New Roman"/>
                <w:sz w:val="28"/>
                <w:szCs w:val="28"/>
              </w:rPr>
            </w:pPr>
            <w:bookmarkStart w:id="17" w:name="_Hlk168642811"/>
            <w:bookmarkEnd w:id="13"/>
            <w:r w:rsidRPr="008414AF">
              <w:rPr>
                <w:rFonts w:ascii="Times New Roman" w:hAnsi="Times New Roman"/>
                <w:b/>
                <w:bCs/>
                <w:sz w:val="28"/>
                <w:szCs w:val="28"/>
              </w:rPr>
              <w:t>здійснення заходів, виконання проектів, метою яких є отримання прибутку</w:t>
            </w:r>
            <w:r w:rsidR="00A560DD" w:rsidRPr="00A560DD">
              <w:rPr>
                <w:rFonts w:ascii="Times New Roman" w:hAnsi="Times New Roman"/>
                <w:sz w:val="28"/>
                <w:szCs w:val="28"/>
              </w:rPr>
              <w:t>;</w:t>
            </w:r>
          </w:p>
          <w:p w14:paraId="7053F485" w14:textId="37ADF6D4" w:rsidR="00A560DD" w:rsidRPr="008414AF" w:rsidRDefault="008414AF" w:rsidP="00A560DD">
            <w:pPr>
              <w:ind w:firstLine="567"/>
              <w:jc w:val="both"/>
              <w:rPr>
                <w:rFonts w:ascii="Times New Roman" w:hAnsi="Times New Roman"/>
                <w:b/>
                <w:bCs/>
                <w:sz w:val="28"/>
                <w:szCs w:val="28"/>
              </w:rPr>
            </w:pPr>
            <w:bookmarkStart w:id="18" w:name="_Hlk168642862"/>
            <w:bookmarkEnd w:id="17"/>
            <w:r w:rsidRPr="008414AF">
              <w:rPr>
                <w:rFonts w:ascii="Times New Roman" w:hAnsi="Times New Roman"/>
                <w:b/>
                <w:bCs/>
                <w:sz w:val="28"/>
                <w:szCs w:val="28"/>
              </w:rPr>
              <w:t>оплату посередницьких послуг</w:t>
            </w:r>
            <w:bookmarkEnd w:id="14"/>
            <w:r w:rsidR="00A560DD" w:rsidRPr="008414AF">
              <w:rPr>
                <w:rFonts w:ascii="Times New Roman" w:hAnsi="Times New Roman"/>
                <w:b/>
                <w:bCs/>
                <w:sz w:val="28"/>
                <w:szCs w:val="28"/>
              </w:rPr>
              <w:t>;</w:t>
            </w:r>
          </w:p>
          <w:bookmarkEnd w:id="18"/>
          <w:p w14:paraId="5FD88568" w14:textId="77777777" w:rsidR="00A560DD" w:rsidRPr="00A560DD" w:rsidRDefault="00A560DD" w:rsidP="00A560DD">
            <w:pPr>
              <w:ind w:firstLine="567"/>
              <w:jc w:val="both"/>
              <w:rPr>
                <w:rFonts w:ascii="Times New Roman" w:hAnsi="Times New Roman"/>
                <w:sz w:val="28"/>
                <w:szCs w:val="28"/>
              </w:rPr>
            </w:pPr>
            <w:r w:rsidRPr="00A560DD">
              <w:rPr>
                <w:rFonts w:ascii="Times New Roman" w:hAnsi="Times New Roman"/>
                <w:sz w:val="28"/>
                <w:szCs w:val="28"/>
              </w:rPr>
              <w:t>надання кредитів, безповоротної фінансової допомоги;</w:t>
            </w:r>
          </w:p>
          <w:p w14:paraId="1AB33338" w14:textId="1082C0A0" w:rsidR="00A560DD" w:rsidRDefault="00A560DD" w:rsidP="00A560DD">
            <w:pPr>
              <w:ind w:firstLine="567"/>
              <w:jc w:val="both"/>
              <w:rPr>
                <w:rFonts w:ascii="Times New Roman" w:hAnsi="Times New Roman"/>
                <w:sz w:val="28"/>
                <w:szCs w:val="28"/>
              </w:rPr>
            </w:pPr>
            <w:r w:rsidRPr="00A560DD">
              <w:rPr>
                <w:rFonts w:ascii="Times New Roman" w:hAnsi="Times New Roman"/>
                <w:sz w:val="28"/>
                <w:szCs w:val="28"/>
              </w:rPr>
              <w:t>здійснення грошових виплат (премій, стипендій, винагород, матеріальної допомоги), надання коштів фізичним та юридичним особам для придбання матеріальних цінностей.</w:t>
            </w:r>
          </w:p>
        </w:tc>
      </w:tr>
      <w:tr w:rsidR="00833DE1" w14:paraId="6933BEC0" w14:textId="77777777" w:rsidTr="00867B15">
        <w:tc>
          <w:tcPr>
            <w:tcW w:w="7420" w:type="dxa"/>
          </w:tcPr>
          <w:p w14:paraId="67A28516"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lastRenderedPageBreak/>
              <w:t>17. За рахунок бюджетних коштів, які спрямовуються на фінансову підтримку громадських об’єднань ветеранів війни для виконання проєктів, можуть здійснюватися видатки на оплату товарів, робіт і послуг, в тому числі послуг залучених спеціалістів, необхідних для виконання проєкту, що обумовлені специфікою його реалізації за умови, що такі видатки були зазначені у конкурсній пропозиції, яку визначено переможцем конкурсу, з урахуванням того, що місячна оплата праці залучених спеціалістів не може бути більше середньої заробітної плати по Україні за минулий рік на період виконання проєкту.</w:t>
            </w:r>
          </w:p>
          <w:p w14:paraId="60D87F72"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t>При цьому видатки на оплату зазначених витрат не повинні перевищувати 20 відсотків загального обсягу бюджетних коштів фінансової підтримки, які призначаються для реалізації проєкту, крім видатків на:</w:t>
            </w:r>
          </w:p>
          <w:p w14:paraId="6C9E2C2D"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t>…</w:t>
            </w:r>
          </w:p>
          <w:p w14:paraId="0B11AC8B" w14:textId="77777777" w:rsidR="00833DE1" w:rsidRPr="00960C01" w:rsidRDefault="00451B43" w:rsidP="00F15961">
            <w:pPr>
              <w:ind w:firstLine="567"/>
              <w:jc w:val="both"/>
              <w:rPr>
                <w:rFonts w:ascii="Times New Roman" w:hAnsi="Times New Roman"/>
                <w:b/>
                <w:bCs/>
                <w:strike/>
                <w:sz w:val="28"/>
                <w:szCs w:val="28"/>
              </w:rPr>
            </w:pPr>
            <w:r w:rsidRPr="00960C01">
              <w:rPr>
                <w:rFonts w:ascii="Times New Roman" w:hAnsi="Times New Roman"/>
                <w:b/>
                <w:bCs/>
                <w:strike/>
                <w:sz w:val="28"/>
                <w:szCs w:val="28"/>
              </w:rPr>
              <w:t xml:space="preserve">оплату видатків на проїзд, вартості проживання та харчування учасників заходу з числа ветеранів війни, членів сімей загиблих (померлих) ветеранів війни, членів сімей загиблих (померлих) Захисників і Захисниць України, осіб, на яких поширюється чинність Законів України “Про жертви нацистських переслідувань”, “Про реабілітацію жертв репресій комуністичного тоталітарного режиму 1917-1991 років” і “Про правовий статус та вшанування пам’яті борців за незалежність України у XX столітті”, та штатних працівників громадського об’єднання ветеранів війни (які залучені до реалізації проєкту) в межах норм, установлених </w:t>
            </w:r>
            <w:r w:rsidRPr="00960C01">
              <w:rPr>
                <w:rFonts w:ascii="Times New Roman" w:hAnsi="Times New Roman"/>
                <w:b/>
                <w:bCs/>
                <w:strike/>
                <w:sz w:val="28"/>
                <w:szCs w:val="28"/>
              </w:rPr>
              <w:lastRenderedPageBreak/>
              <w:t>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14:paraId="4014FD14"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t>…</w:t>
            </w:r>
          </w:p>
        </w:tc>
        <w:tc>
          <w:tcPr>
            <w:tcW w:w="7420" w:type="dxa"/>
          </w:tcPr>
          <w:p w14:paraId="003DC508"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lastRenderedPageBreak/>
              <w:t>17. За рахунок бюджетних коштів, які спрямовуються на фінансову підтримку громадських об’єднань ветеранів війни для виконання проєктів, можуть здійснюватися видатки на оплату товарів, робіт і послуг, в тому числі послуг залучених спеціалістів, необхідних для виконання проєкту, що обумовлені специфікою його реалізації за умови, що такі видатки були зазначені у конкурсній пропозиції, яку визначено переможцем конкурсу, з урахуванням того, що місячна оплата праці залучених спеціалістів не може бути більше середньої заробітної плати по Україні за минулий рік на період виконання проєкту.</w:t>
            </w:r>
          </w:p>
          <w:p w14:paraId="5CBC726F"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t>При цьому видатки на оплату зазначених витрат не повинні перевищувати 20 відсотків загального обсягу бюджетних коштів фінансової підтримки, які призначаються для реалізації проєкту, крім видатків на:</w:t>
            </w:r>
          </w:p>
          <w:p w14:paraId="447F04CF"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t>…</w:t>
            </w:r>
          </w:p>
          <w:p w14:paraId="2BFE47EE" w14:textId="4F5CCD1E" w:rsidR="00833DE1" w:rsidRPr="00DB1EE7" w:rsidRDefault="00410F9F" w:rsidP="00F15961">
            <w:pPr>
              <w:ind w:firstLine="567"/>
              <w:jc w:val="both"/>
              <w:rPr>
                <w:rFonts w:ascii="Times New Roman" w:hAnsi="Times New Roman"/>
                <w:sz w:val="28"/>
                <w:szCs w:val="28"/>
              </w:rPr>
            </w:pPr>
            <w:bookmarkStart w:id="19" w:name="_Hlk169086230"/>
            <w:r>
              <w:rPr>
                <w:rFonts w:ascii="Times New Roman" w:hAnsi="Times New Roman"/>
                <w:b/>
                <w:bCs/>
                <w:sz w:val="28"/>
                <w:szCs w:val="28"/>
              </w:rPr>
              <w:t>о</w:t>
            </w:r>
            <w:r w:rsidRPr="00410F9F">
              <w:rPr>
                <w:rFonts w:ascii="Times New Roman" w:hAnsi="Times New Roman"/>
                <w:b/>
                <w:bCs/>
                <w:sz w:val="28"/>
                <w:szCs w:val="28"/>
              </w:rPr>
              <w:t>плату витрат на проїзд, добових та вартості проживання учасників заходу з числа ветеранів війни</w:t>
            </w:r>
            <w:r w:rsidR="009521F4" w:rsidRPr="00C66533">
              <w:rPr>
                <w:rFonts w:ascii="Times New Roman" w:hAnsi="Times New Roman"/>
                <w:b/>
                <w:bCs/>
                <w:sz w:val="28"/>
                <w:szCs w:val="28"/>
              </w:rPr>
              <w:t>, членів сімей загиблих (померлих) ветеранів війни, членів сімей загиблих (померлих) Захисників і Захисниць України</w:t>
            </w:r>
            <w:r w:rsidR="009521F4">
              <w:rPr>
                <w:rFonts w:ascii="Times New Roman" w:hAnsi="Times New Roman"/>
                <w:b/>
                <w:bCs/>
                <w:sz w:val="28"/>
                <w:szCs w:val="28"/>
              </w:rPr>
              <w:t xml:space="preserve"> </w:t>
            </w:r>
            <w:r w:rsidR="009521F4" w:rsidRPr="00C66533">
              <w:rPr>
                <w:rFonts w:ascii="Times New Roman" w:hAnsi="Times New Roman"/>
                <w:b/>
                <w:bCs/>
                <w:sz w:val="28"/>
                <w:szCs w:val="28"/>
              </w:rPr>
              <w:t>та штатних працівників громадського об’єднання ветеранів війни (які залучені до реалізації проєкту) в межах норм,</w:t>
            </w:r>
            <w:r w:rsidR="00370432" w:rsidRPr="00DB1EE7">
              <w:rPr>
                <w:rFonts w:ascii="Times New Roman" w:hAnsi="Times New Roman"/>
                <w:b/>
                <w:bCs/>
                <w:sz w:val="28"/>
                <w:szCs w:val="28"/>
              </w:rPr>
              <w:t xml:space="preserve"> </w:t>
            </w:r>
            <w:r w:rsidR="009521F4" w:rsidRPr="00C66533">
              <w:rPr>
                <w:rFonts w:ascii="Times New Roman" w:hAnsi="Times New Roman"/>
                <w:b/>
                <w:bCs/>
                <w:sz w:val="28"/>
                <w:szCs w:val="28"/>
              </w:rPr>
              <w:t xml:space="preserve">установлених 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w:t>
            </w:r>
            <w:r w:rsidR="009521F4" w:rsidRPr="00C66533">
              <w:rPr>
                <w:rFonts w:ascii="Times New Roman" w:hAnsi="Times New Roman"/>
                <w:b/>
                <w:bCs/>
                <w:sz w:val="28"/>
                <w:szCs w:val="28"/>
              </w:rPr>
              <w:lastRenderedPageBreak/>
              <w:t>організаціями, які повністю або частково утримуються (фінансуються) за рахунок бюджетних коштів”</w:t>
            </w:r>
            <w:r w:rsidR="00DB1EE7" w:rsidRPr="00DB1EE7">
              <w:rPr>
                <w:rFonts w:ascii="Times New Roman" w:hAnsi="Times New Roman"/>
                <w:b/>
                <w:bCs/>
                <w:sz w:val="28"/>
                <w:szCs w:val="28"/>
              </w:rPr>
              <w:t>;</w:t>
            </w:r>
          </w:p>
          <w:bookmarkEnd w:id="19"/>
          <w:p w14:paraId="4C73B209" w14:textId="77777777" w:rsidR="00DB1EE7" w:rsidRDefault="00DB1EE7" w:rsidP="00F15961">
            <w:pPr>
              <w:ind w:firstLine="567"/>
              <w:jc w:val="both"/>
              <w:rPr>
                <w:rFonts w:ascii="Times New Roman" w:hAnsi="Times New Roman"/>
                <w:sz w:val="28"/>
                <w:szCs w:val="28"/>
                <w:lang w:val="ru-RU"/>
              </w:rPr>
            </w:pPr>
          </w:p>
          <w:p w14:paraId="4A00CD5C" w14:textId="77777777" w:rsidR="00DB1EE7" w:rsidRDefault="00DB1EE7" w:rsidP="00F15961">
            <w:pPr>
              <w:ind w:firstLine="567"/>
              <w:jc w:val="both"/>
              <w:rPr>
                <w:rFonts w:ascii="Times New Roman" w:hAnsi="Times New Roman"/>
                <w:sz w:val="28"/>
                <w:szCs w:val="28"/>
                <w:lang w:val="ru-RU"/>
              </w:rPr>
            </w:pPr>
          </w:p>
          <w:p w14:paraId="0F572C57" w14:textId="77777777" w:rsidR="00DB1EE7" w:rsidRDefault="00DB1EE7" w:rsidP="00F15961">
            <w:pPr>
              <w:ind w:firstLine="567"/>
              <w:jc w:val="both"/>
              <w:rPr>
                <w:rFonts w:ascii="Times New Roman" w:hAnsi="Times New Roman"/>
                <w:sz w:val="28"/>
                <w:szCs w:val="28"/>
                <w:lang w:val="ru-RU"/>
              </w:rPr>
            </w:pPr>
          </w:p>
          <w:p w14:paraId="00652C4E" w14:textId="77777777" w:rsidR="00DB1EE7" w:rsidRDefault="00DB1EE7" w:rsidP="00F15961">
            <w:pPr>
              <w:ind w:firstLine="567"/>
              <w:jc w:val="both"/>
              <w:rPr>
                <w:rFonts w:ascii="Times New Roman" w:hAnsi="Times New Roman"/>
                <w:sz w:val="28"/>
                <w:szCs w:val="28"/>
                <w:lang w:val="ru-RU"/>
              </w:rPr>
            </w:pPr>
          </w:p>
          <w:p w14:paraId="66944102" w14:textId="77777777" w:rsidR="00DB1EE7" w:rsidRDefault="00DB1EE7" w:rsidP="00F15961">
            <w:pPr>
              <w:ind w:firstLine="567"/>
              <w:jc w:val="both"/>
              <w:rPr>
                <w:rFonts w:ascii="Times New Roman" w:hAnsi="Times New Roman"/>
                <w:sz w:val="28"/>
                <w:szCs w:val="28"/>
                <w:lang w:val="ru-RU"/>
              </w:rPr>
            </w:pPr>
          </w:p>
          <w:p w14:paraId="551A336D" w14:textId="44615F5D" w:rsidR="00833DE1" w:rsidRDefault="00451B43" w:rsidP="00F15961">
            <w:pPr>
              <w:ind w:firstLine="567"/>
              <w:jc w:val="both"/>
              <w:rPr>
                <w:rFonts w:ascii="Times New Roman" w:hAnsi="Times New Roman"/>
                <w:sz w:val="28"/>
                <w:szCs w:val="28"/>
              </w:rPr>
            </w:pPr>
            <w:r>
              <w:rPr>
                <w:rFonts w:ascii="Times New Roman" w:hAnsi="Times New Roman"/>
                <w:sz w:val="28"/>
                <w:szCs w:val="28"/>
              </w:rPr>
              <w:t>…</w:t>
            </w:r>
          </w:p>
        </w:tc>
      </w:tr>
      <w:tr w:rsidR="00ED5317" w14:paraId="11930D40" w14:textId="77777777" w:rsidTr="00867B15">
        <w:tc>
          <w:tcPr>
            <w:tcW w:w="7420" w:type="dxa"/>
          </w:tcPr>
          <w:p w14:paraId="4D4E3591" w14:textId="1C64D451" w:rsidR="00ED5317" w:rsidRDefault="00ED5317" w:rsidP="00F15961">
            <w:pPr>
              <w:ind w:firstLine="567"/>
              <w:jc w:val="both"/>
              <w:rPr>
                <w:rFonts w:ascii="Times New Roman" w:hAnsi="Times New Roman"/>
                <w:sz w:val="28"/>
                <w:szCs w:val="28"/>
              </w:rPr>
            </w:pPr>
            <w:r w:rsidRPr="00ED5317">
              <w:rPr>
                <w:rFonts w:ascii="Times New Roman" w:hAnsi="Times New Roman"/>
                <w:sz w:val="28"/>
                <w:szCs w:val="28"/>
              </w:rPr>
              <w:lastRenderedPageBreak/>
              <w:t xml:space="preserve">20. Видатки на оплату інформаційних послуг включають у себе видатки на доведення інформації до споживачів з метою задоволення їх інформаційних потреб шляхом поширення аудіо-, відеоматеріалів, друкованої продукції у </w:t>
            </w:r>
            <w:bookmarkStart w:id="20" w:name="_Hlk168644031"/>
            <w:r w:rsidRPr="00ED5317">
              <w:rPr>
                <w:rFonts w:ascii="Times New Roman" w:hAnsi="Times New Roman"/>
                <w:b/>
                <w:bCs/>
                <w:strike/>
                <w:sz w:val="28"/>
                <w:szCs w:val="28"/>
              </w:rPr>
              <w:t>засобах масової інформації</w:t>
            </w:r>
            <w:bookmarkEnd w:id="20"/>
            <w:r w:rsidRPr="00ED5317">
              <w:rPr>
                <w:rFonts w:ascii="Times New Roman" w:hAnsi="Times New Roman"/>
                <w:sz w:val="28"/>
                <w:szCs w:val="28"/>
              </w:rPr>
              <w:t xml:space="preserve"> та інших інформаційних джерелах, у тому числі на носіях зовнішньої реклами.</w:t>
            </w:r>
          </w:p>
        </w:tc>
        <w:tc>
          <w:tcPr>
            <w:tcW w:w="7420" w:type="dxa"/>
          </w:tcPr>
          <w:p w14:paraId="4C69CABA" w14:textId="3A1CAB25" w:rsidR="00ED5317" w:rsidRDefault="00ED5317" w:rsidP="00F15961">
            <w:pPr>
              <w:ind w:firstLine="567"/>
              <w:jc w:val="both"/>
              <w:rPr>
                <w:rFonts w:ascii="Times New Roman" w:hAnsi="Times New Roman"/>
                <w:sz w:val="28"/>
                <w:szCs w:val="28"/>
              </w:rPr>
            </w:pPr>
            <w:r w:rsidRPr="00ED5317">
              <w:rPr>
                <w:rFonts w:ascii="Times New Roman" w:hAnsi="Times New Roman"/>
                <w:sz w:val="28"/>
                <w:szCs w:val="28"/>
              </w:rPr>
              <w:t xml:space="preserve">20. Видатки на оплату інформаційних послуг включають у себе видатки на доведення інформації до споживачів з метою задоволення їх інформаційних потреб шляхом поширення аудіо-, відеоматеріалів, друкованої продукції </w:t>
            </w:r>
            <w:r>
              <w:rPr>
                <w:rFonts w:ascii="Times New Roman" w:hAnsi="Times New Roman"/>
                <w:sz w:val="28"/>
                <w:szCs w:val="28"/>
              </w:rPr>
              <w:t xml:space="preserve">у </w:t>
            </w:r>
            <w:r w:rsidRPr="00ED5317">
              <w:rPr>
                <w:rFonts w:ascii="Times New Roman" w:hAnsi="Times New Roman"/>
                <w:b/>
                <w:bCs/>
                <w:sz w:val="28"/>
                <w:szCs w:val="28"/>
              </w:rPr>
              <w:t>медіа</w:t>
            </w:r>
            <w:r>
              <w:rPr>
                <w:rFonts w:ascii="Times New Roman" w:hAnsi="Times New Roman"/>
                <w:sz w:val="28"/>
                <w:szCs w:val="28"/>
              </w:rPr>
              <w:t xml:space="preserve"> </w:t>
            </w:r>
            <w:r w:rsidRPr="00ED5317">
              <w:rPr>
                <w:rFonts w:ascii="Times New Roman" w:hAnsi="Times New Roman"/>
                <w:sz w:val="28"/>
                <w:szCs w:val="28"/>
              </w:rPr>
              <w:t>та інших інформаційних джерелах, у тому числі на носіях зовнішньої реклами.</w:t>
            </w:r>
          </w:p>
        </w:tc>
      </w:tr>
      <w:tr w:rsidR="00833DE1" w14:paraId="571E124B" w14:textId="77777777" w:rsidTr="00867B15">
        <w:tc>
          <w:tcPr>
            <w:tcW w:w="7420" w:type="dxa"/>
          </w:tcPr>
          <w:p w14:paraId="0129CA02"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t>26. З метою досягнення результатів пріоритетних завдань, визначення результативності та ефективності реалізації проєктів, контролю за цільовим використанням коштів Мінветеранів проводиться моніторинг та поточне оцінювання, відповідно до вимог, визначених Порядком № </w:t>
            </w:r>
            <w:r>
              <w:rPr>
                <w:rFonts w:ascii="Times New Roman" w:hAnsi="Times New Roman"/>
                <w:b/>
                <w:bCs/>
                <w:strike/>
                <w:sz w:val="28"/>
                <w:szCs w:val="28"/>
              </w:rPr>
              <w:t>156</w:t>
            </w:r>
            <w:r>
              <w:rPr>
                <w:rFonts w:ascii="Times New Roman" w:hAnsi="Times New Roman"/>
                <w:sz w:val="28"/>
                <w:szCs w:val="28"/>
              </w:rPr>
              <w:t>.</w:t>
            </w:r>
          </w:p>
        </w:tc>
        <w:tc>
          <w:tcPr>
            <w:tcW w:w="7420" w:type="dxa"/>
          </w:tcPr>
          <w:p w14:paraId="3B3764AD" w14:textId="77777777" w:rsidR="00833DE1" w:rsidRDefault="00451B43" w:rsidP="00F15961">
            <w:pPr>
              <w:ind w:firstLine="567"/>
              <w:jc w:val="both"/>
              <w:rPr>
                <w:rFonts w:ascii="Times New Roman" w:hAnsi="Times New Roman"/>
                <w:sz w:val="28"/>
                <w:szCs w:val="28"/>
              </w:rPr>
            </w:pPr>
            <w:r>
              <w:rPr>
                <w:rFonts w:ascii="Times New Roman" w:hAnsi="Times New Roman"/>
                <w:sz w:val="28"/>
                <w:szCs w:val="28"/>
              </w:rPr>
              <w:t>26. З метою досягнення результатів пріоритетних завдань, визначення результативності та ефективності реалізації проєктів, контролю за цільовим використанням коштів Мінветеранів проводиться моніторинг та поточне оцінювання, відповідно до вимог, визначених Порядком № </w:t>
            </w:r>
            <w:r>
              <w:rPr>
                <w:rFonts w:ascii="Times New Roman" w:hAnsi="Times New Roman"/>
                <w:b/>
                <w:bCs/>
                <w:sz w:val="28"/>
                <w:szCs w:val="28"/>
              </w:rPr>
              <w:t>263</w:t>
            </w:r>
            <w:r>
              <w:rPr>
                <w:rFonts w:ascii="Times New Roman" w:hAnsi="Times New Roman"/>
                <w:sz w:val="28"/>
                <w:szCs w:val="28"/>
              </w:rPr>
              <w:t>.</w:t>
            </w:r>
          </w:p>
        </w:tc>
      </w:tr>
      <w:tr w:rsidR="00FB68B5" w14:paraId="78EA1B53" w14:textId="77777777" w:rsidTr="00867B15">
        <w:tc>
          <w:tcPr>
            <w:tcW w:w="7420" w:type="dxa"/>
          </w:tcPr>
          <w:p w14:paraId="386719F9" w14:textId="092B59A4" w:rsidR="00FB68B5" w:rsidRDefault="00FB68B5" w:rsidP="00F15961">
            <w:pPr>
              <w:ind w:firstLine="567"/>
              <w:jc w:val="both"/>
              <w:rPr>
                <w:rFonts w:ascii="Times New Roman" w:hAnsi="Times New Roman"/>
                <w:sz w:val="28"/>
                <w:szCs w:val="28"/>
              </w:rPr>
            </w:pPr>
            <w:r w:rsidRPr="00FB68B5">
              <w:rPr>
                <w:rFonts w:ascii="Times New Roman" w:hAnsi="Times New Roman"/>
                <w:sz w:val="28"/>
                <w:szCs w:val="28"/>
              </w:rPr>
              <w:t xml:space="preserve">28. Моніторинг виконання проєктів проводиться працівниками Мінветеранів, представниками громадських об’єднань ветеранів війни (які не є організаторами проєкту), шляхом відвідування заходів, що передбачені планом реалізації проєкту, проведення анкетування до та після проведення заходів, якщо вони були спрямовані на навчання або підвищення знань, збору та аналізу інформаційних </w:t>
            </w:r>
            <w:r w:rsidRPr="00FB68B5">
              <w:rPr>
                <w:rFonts w:ascii="Times New Roman" w:hAnsi="Times New Roman"/>
                <w:sz w:val="28"/>
                <w:szCs w:val="28"/>
              </w:rPr>
              <w:lastRenderedPageBreak/>
              <w:t xml:space="preserve">матеріалів, звітів переможця конкурсу, інформації в </w:t>
            </w:r>
            <w:r w:rsidRPr="005A1CBA">
              <w:rPr>
                <w:rFonts w:ascii="Times New Roman" w:hAnsi="Times New Roman"/>
                <w:b/>
                <w:bCs/>
                <w:strike/>
                <w:sz w:val="28"/>
                <w:szCs w:val="28"/>
              </w:rPr>
              <w:t>засобах масової інформації</w:t>
            </w:r>
            <w:r w:rsidRPr="00FB68B5">
              <w:rPr>
                <w:rFonts w:ascii="Times New Roman" w:hAnsi="Times New Roman"/>
                <w:sz w:val="28"/>
                <w:szCs w:val="28"/>
              </w:rPr>
              <w:t xml:space="preserve"> тощо. За результатами проведення моніторингу відповідальна за його проведення особа готує моніторинговий звіт за формою згідно з додатком 6 до Порядку № 1049.</w:t>
            </w:r>
          </w:p>
        </w:tc>
        <w:tc>
          <w:tcPr>
            <w:tcW w:w="7420" w:type="dxa"/>
          </w:tcPr>
          <w:p w14:paraId="665C2AFD" w14:textId="7D0F9D72" w:rsidR="00FB68B5" w:rsidRDefault="005A1CBA" w:rsidP="00F15961">
            <w:pPr>
              <w:ind w:firstLine="567"/>
              <w:jc w:val="both"/>
              <w:rPr>
                <w:rFonts w:ascii="Times New Roman" w:hAnsi="Times New Roman"/>
                <w:sz w:val="28"/>
                <w:szCs w:val="28"/>
              </w:rPr>
            </w:pPr>
            <w:r w:rsidRPr="005A1CBA">
              <w:rPr>
                <w:rFonts w:ascii="Times New Roman" w:hAnsi="Times New Roman"/>
                <w:sz w:val="28"/>
                <w:szCs w:val="28"/>
              </w:rPr>
              <w:lastRenderedPageBreak/>
              <w:t xml:space="preserve">28. Моніторинг виконання проєктів проводиться працівниками Мінветеранів, представниками громадських об’єднань ветеранів війни (які не є організаторами проєкту), шляхом відвідування заходів, що передбачені планом реалізації проєкту, проведення анкетування до та після проведення заходів, якщо вони були спрямовані на навчання або підвищення знань, збору та аналізу інформаційних </w:t>
            </w:r>
            <w:r w:rsidRPr="005A1CBA">
              <w:rPr>
                <w:rFonts w:ascii="Times New Roman" w:hAnsi="Times New Roman"/>
                <w:sz w:val="28"/>
                <w:szCs w:val="28"/>
              </w:rPr>
              <w:lastRenderedPageBreak/>
              <w:t xml:space="preserve">матеріалів, звітів переможця конкурсу, інформації в </w:t>
            </w:r>
            <w:r w:rsidRPr="005A1CBA">
              <w:rPr>
                <w:rFonts w:ascii="Times New Roman" w:hAnsi="Times New Roman"/>
                <w:b/>
                <w:bCs/>
                <w:sz w:val="28"/>
                <w:szCs w:val="28"/>
              </w:rPr>
              <w:t>медіа</w:t>
            </w:r>
            <w:r w:rsidRPr="005A1CBA">
              <w:rPr>
                <w:rFonts w:ascii="Times New Roman" w:hAnsi="Times New Roman"/>
                <w:sz w:val="28"/>
                <w:szCs w:val="28"/>
              </w:rPr>
              <w:t xml:space="preserve"> тощо. За результатами проведення моніторингу відповідальна за його проведення особа готує моніторинговий звіт за формою згідно з додатком 6 до Порядку № 1049.</w:t>
            </w:r>
          </w:p>
        </w:tc>
      </w:tr>
      <w:tr w:rsidR="00502683" w14:paraId="25D9ACB1" w14:textId="77777777" w:rsidTr="00867B15">
        <w:tc>
          <w:tcPr>
            <w:tcW w:w="7420" w:type="dxa"/>
          </w:tcPr>
          <w:p w14:paraId="1B581E0C" w14:textId="77777777" w:rsidR="0080054B" w:rsidRPr="0080054B" w:rsidRDefault="0080054B" w:rsidP="008D51E1">
            <w:pPr>
              <w:ind w:right="195" w:firstLine="567"/>
              <w:jc w:val="right"/>
              <w:rPr>
                <w:rFonts w:ascii="Times New Roman" w:hAnsi="Times New Roman"/>
                <w:sz w:val="28"/>
                <w:szCs w:val="28"/>
              </w:rPr>
            </w:pPr>
            <w:r w:rsidRPr="0080054B">
              <w:rPr>
                <w:rFonts w:ascii="Times New Roman" w:hAnsi="Times New Roman"/>
                <w:sz w:val="28"/>
                <w:szCs w:val="28"/>
              </w:rPr>
              <w:lastRenderedPageBreak/>
              <w:t>Додаток 3</w:t>
            </w:r>
          </w:p>
          <w:p w14:paraId="1E857952" w14:textId="77777777" w:rsidR="0080054B" w:rsidRPr="0080054B" w:rsidRDefault="0080054B" w:rsidP="008D51E1">
            <w:pPr>
              <w:ind w:right="195" w:firstLine="567"/>
              <w:jc w:val="right"/>
              <w:rPr>
                <w:rFonts w:ascii="Times New Roman" w:hAnsi="Times New Roman"/>
                <w:sz w:val="28"/>
                <w:szCs w:val="28"/>
              </w:rPr>
            </w:pPr>
            <w:r w:rsidRPr="0080054B">
              <w:rPr>
                <w:rFonts w:ascii="Times New Roman" w:hAnsi="Times New Roman"/>
                <w:sz w:val="28"/>
                <w:szCs w:val="28"/>
              </w:rPr>
              <w:t>до Порядку виконання загальнодержавних</w:t>
            </w:r>
          </w:p>
          <w:p w14:paraId="018BF2CB" w14:textId="77777777" w:rsidR="0080054B" w:rsidRPr="0080054B" w:rsidRDefault="0080054B" w:rsidP="008D51E1">
            <w:pPr>
              <w:ind w:right="195" w:firstLine="567"/>
              <w:jc w:val="right"/>
              <w:rPr>
                <w:rFonts w:ascii="Times New Roman" w:hAnsi="Times New Roman"/>
                <w:sz w:val="28"/>
                <w:szCs w:val="28"/>
              </w:rPr>
            </w:pPr>
            <w:r w:rsidRPr="0080054B">
              <w:rPr>
                <w:rFonts w:ascii="Times New Roman" w:hAnsi="Times New Roman"/>
                <w:sz w:val="28"/>
                <w:szCs w:val="28"/>
              </w:rPr>
              <w:t>програм (проєктів, заходів) громадськими</w:t>
            </w:r>
          </w:p>
          <w:p w14:paraId="70EE0B78" w14:textId="77777777" w:rsidR="0080054B" w:rsidRPr="0080054B" w:rsidRDefault="0080054B" w:rsidP="008D51E1">
            <w:pPr>
              <w:ind w:right="195" w:firstLine="567"/>
              <w:jc w:val="right"/>
              <w:rPr>
                <w:rFonts w:ascii="Times New Roman" w:hAnsi="Times New Roman"/>
                <w:sz w:val="28"/>
                <w:szCs w:val="28"/>
              </w:rPr>
            </w:pPr>
            <w:r w:rsidRPr="0080054B">
              <w:rPr>
                <w:rFonts w:ascii="Times New Roman" w:hAnsi="Times New Roman"/>
                <w:sz w:val="28"/>
                <w:szCs w:val="28"/>
              </w:rPr>
              <w:t>об’єднаннями ветеранів війни</w:t>
            </w:r>
          </w:p>
          <w:p w14:paraId="24F1A2D9" w14:textId="77777777" w:rsidR="00502683" w:rsidRDefault="0080054B" w:rsidP="008D51E1">
            <w:pPr>
              <w:ind w:right="195" w:firstLine="567"/>
              <w:jc w:val="right"/>
              <w:rPr>
                <w:rFonts w:ascii="Times New Roman" w:hAnsi="Times New Roman"/>
                <w:sz w:val="28"/>
                <w:szCs w:val="28"/>
              </w:rPr>
            </w:pPr>
            <w:r w:rsidRPr="0080054B">
              <w:rPr>
                <w:rFonts w:ascii="Times New Roman" w:hAnsi="Times New Roman"/>
                <w:sz w:val="28"/>
                <w:szCs w:val="28"/>
              </w:rPr>
              <w:t>(пункт 23)</w:t>
            </w:r>
          </w:p>
          <w:p w14:paraId="76F13DCE" w14:textId="143A2BC9" w:rsidR="0080054B" w:rsidRDefault="0080054B" w:rsidP="0080054B">
            <w:pPr>
              <w:ind w:firstLine="567"/>
              <w:jc w:val="both"/>
              <w:rPr>
                <w:rFonts w:ascii="Times New Roman" w:hAnsi="Times New Roman"/>
                <w:sz w:val="28"/>
                <w:szCs w:val="28"/>
              </w:rPr>
            </w:pPr>
            <w:r>
              <w:rPr>
                <w:rFonts w:ascii="Times New Roman" w:hAnsi="Times New Roman"/>
                <w:sz w:val="28"/>
                <w:szCs w:val="28"/>
              </w:rPr>
              <w:t>…</w:t>
            </w:r>
          </w:p>
          <w:tbl>
            <w:tblPr>
              <w:tblpPr w:leftFromText="180" w:rightFromText="180" w:vertAnchor="text" w:horzAnchor="page" w:tblpX="10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2265"/>
              <w:gridCol w:w="4509"/>
            </w:tblGrid>
            <w:tr w:rsidR="0080054B" w14:paraId="221203CA" w14:textId="19DFFB83" w:rsidTr="00634C4B">
              <w:trPr>
                <w:trHeight w:val="720"/>
              </w:trPr>
              <w:tc>
                <w:tcPr>
                  <w:tcW w:w="421" w:type="dxa"/>
                </w:tcPr>
                <w:p w14:paraId="33496770" w14:textId="0D6F7356" w:rsidR="0080054B" w:rsidRDefault="008A64E6" w:rsidP="0080054B">
                  <w:pPr>
                    <w:jc w:val="both"/>
                    <w:rPr>
                      <w:rFonts w:ascii="Times New Roman" w:hAnsi="Times New Roman"/>
                      <w:sz w:val="28"/>
                      <w:szCs w:val="28"/>
                    </w:rPr>
                  </w:pPr>
                  <w:r>
                    <w:rPr>
                      <w:rFonts w:ascii="Times New Roman" w:hAnsi="Times New Roman"/>
                      <w:sz w:val="28"/>
                      <w:szCs w:val="28"/>
                    </w:rPr>
                    <w:t>9</w:t>
                  </w:r>
                </w:p>
              </w:tc>
              <w:tc>
                <w:tcPr>
                  <w:tcW w:w="2268" w:type="dxa"/>
                </w:tcPr>
                <w:p w14:paraId="452D765A" w14:textId="77E80059" w:rsidR="0080054B" w:rsidRDefault="008A64E6" w:rsidP="0080054B">
                  <w:pPr>
                    <w:jc w:val="both"/>
                    <w:rPr>
                      <w:rFonts w:ascii="Times New Roman" w:hAnsi="Times New Roman"/>
                      <w:sz w:val="28"/>
                      <w:szCs w:val="28"/>
                    </w:rPr>
                  </w:pPr>
                  <w:r w:rsidRPr="008A64E6">
                    <w:rPr>
                      <w:rFonts w:ascii="Times New Roman" w:hAnsi="Times New Roman"/>
                      <w:sz w:val="28"/>
                      <w:szCs w:val="28"/>
                    </w:rPr>
                    <w:t>Оплата інформаційних послуг</w:t>
                  </w:r>
                </w:p>
              </w:tc>
              <w:tc>
                <w:tcPr>
                  <w:tcW w:w="4536" w:type="dxa"/>
                </w:tcPr>
                <w:p w14:paraId="40C08796" w14:textId="499841F1" w:rsidR="0080054B" w:rsidRDefault="008A64E6" w:rsidP="0080054B">
                  <w:pPr>
                    <w:jc w:val="both"/>
                    <w:rPr>
                      <w:rFonts w:ascii="Times New Roman" w:hAnsi="Times New Roman"/>
                      <w:sz w:val="28"/>
                      <w:szCs w:val="28"/>
                    </w:rPr>
                  </w:pPr>
                  <w:r w:rsidRPr="008A64E6">
                    <w:rPr>
                      <w:rFonts w:ascii="Times New Roman" w:hAnsi="Times New Roman"/>
                      <w:sz w:val="28"/>
                      <w:szCs w:val="28"/>
                    </w:rPr>
                    <w:t xml:space="preserve">Видатки на оплату інформаційних послуг (на аудіо-, фото-, відеоматеріали, розміщення матеріалів у </w:t>
                  </w:r>
                  <w:r w:rsidRPr="008A64E6">
                    <w:rPr>
                      <w:rFonts w:ascii="Times New Roman" w:hAnsi="Times New Roman"/>
                      <w:b/>
                      <w:bCs/>
                      <w:sz w:val="28"/>
                      <w:szCs w:val="28"/>
                    </w:rPr>
                    <w:t>засобах масової інформації</w:t>
                  </w:r>
                  <w:r w:rsidRPr="008A64E6">
                    <w:rPr>
                      <w:rFonts w:ascii="Times New Roman" w:hAnsi="Times New Roman"/>
                      <w:sz w:val="28"/>
                      <w:szCs w:val="28"/>
                    </w:rPr>
                    <w:t xml:space="preserve"> та інших інформаційних джерелах) визначаються відповідно до діючих розцінок та кількості наданих послуг</w:t>
                  </w:r>
                </w:p>
              </w:tc>
            </w:tr>
          </w:tbl>
          <w:p w14:paraId="16AE6F66" w14:textId="3CF46A6E" w:rsidR="0080054B" w:rsidRDefault="0080054B" w:rsidP="0080054B">
            <w:pPr>
              <w:ind w:firstLine="567"/>
              <w:jc w:val="both"/>
              <w:rPr>
                <w:rFonts w:ascii="Times New Roman" w:hAnsi="Times New Roman"/>
                <w:sz w:val="28"/>
                <w:szCs w:val="28"/>
              </w:rPr>
            </w:pPr>
          </w:p>
          <w:p w14:paraId="07A3D7A7" w14:textId="3F4F8646" w:rsidR="0080054B" w:rsidRDefault="00034EBB" w:rsidP="0080054B">
            <w:pPr>
              <w:ind w:firstLine="567"/>
              <w:jc w:val="both"/>
              <w:rPr>
                <w:rFonts w:ascii="Times New Roman" w:hAnsi="Times New Roman"/>
                <w:sz w:val="28"/>
                <w:szCs w:val="28"/>
              </w:rPr>
            </w:pPr>
            <w:r>
              <w:rPr>
                <w:rFonts w:ascii="Times New Roman" w:hAnsi="Times New Roman"/>
                <w:sz w:val="28"/>
                <w:szCs w:val="28"/>
              </w:rPr>
              <w:t>…</w:t>
            </w:r>
          </w:p>
          <w:p w14:paraId="5633A88C" w14:textId="65011E38" w:rsidR="0080054B" w:rsidRPr="00FB68B5" w:rsidRDefault="0080054B" w:rsidP="0080054B">
            <w:pPr>
              <w:ind w:firstLine="567"/>
              <w:jc w:val="right"/>
              <w:rPr>
                <w:rFonts w:ascii="Times New Roman" w:hAnsi="Times New Roman"/>
                <w:sz w:val="28"/>
                <w:szCs w:val="28"/>
              </w:rPr>
            </w:pPr>
          </w:p>
        </w:tc>
        <w:tc>
          <w:tcPr>
            <w:tcW w:w="7420" w:type="dxa"/>
          </w:tcPr>
          <w:p w14:paraId="195F7842" w14:textId="77777777" w:rsidR="008A64E6" w:rsidRPr="0080054B" w:rsidRDefault="008A64E6" w:rsidP="008D51E1">
            <w:pPr>
              <w:ind w:right="130" w:firstLine="567"/>
              <w:jc w:val="right"/>
              <w:rPr>
                <w:rFonts w:ascii="Times New Roman" w:hAnsi="Times New Roman"/>
                <w:sz w:val="28"/>
                <w:szCs w:val="28"/>
              </w:rPr>
            </w:pPr>
            <w:r w:rsidRPr="0080054B">
              <w:rPr>
                <w:rFonts w:ascii="Times New Roman" w:hAnsi="Times New Roman"/>
                <w:sz w:val="28"/>
                <w:szCs w:val="28"/>
              </w:rPr>
              <w:t>Додаток 3</w:t>
            </w:r>
          </w:p>
          <w:p w14:paraId="7E953BAA" w14:textId="77777777" w:rsidR="008A64E6" w:rsidRPr="0080054B" w:rsidRDefault="008A64E6" w:rsidP="008D51E1">
            <w:pPr>
              <w:ind w:right="130" w:firstLine="567"/>
              <w:jc w:val="right"/>
              <w:rPr>
                <w:rFonts w:ascii="Times New Roman" w:hAnsi="Times New Roman"/>
                <w:sz w:val="28"/>
                <w:szCs w:val="28"/>
              </w:rPr>
            </w:pPr>
            <w:r w:rsidRPr="0080054B">
              <w:rPr>
                <w:rFonts w:ascii="Times New Roman" w:hAnsi="Times New Roman"/>
                <w:sz w:val="28"/>
                <w:szCs w:val="28"/>
              </w:rPr>
              <w:t>до Порядку виконання загальнодержавних</w:t>
            </w:r>
          </w:p>
          <w:p w14:paraId="3E1ED1BC" w14:textId="77777777" w:rsidR="008A64E6" w:rsidRPr="0080054B" w:rsidRDefault="008A64E6" w:rsidP="008D51E1">
            <w:pPr>
              <w:ind w:right="130" w:firstLine="567"/>
              <w:jc w:val="right"/>
              <w:rPr>
                <w:rFonts w:ascii="Times New Roman" w:hAnsi="Times New Roman"/>
                <w:sz w:val="28"/>
                <w:szCs w:val="28"/>
              </w:rPr>
            </w:pPr>
            <w:r w:rsidRPr="0080054B">
              <w:rPr>
                <w:rFonts w:ascii="Times New Roman" w:hAnsi="Times New Roman"/>
                <w:sz w:val="28"/>
                <w:szCs w:val="28"/>
              </w:rPr>
              <w:t>програм (проєктів, заходів) громадськими</w:t>
            </w:r>
          </w:p>
          <w:p w14:paraId="3F60DF35" w14:textId="77777777" w:rsidR="008A64E6" w:rsidRPr="0080054B" w:rsidRDefault="008A64E6" w:rsidP="008D51E1">
            <w:pPr>
              <w:ind w:right="130" w:firstLine="567"/>
              <w:jc w:val="right"/>
              <w:rPr>
                <w:rFonts w:ascii="Times New Roman" w:hAnsi="Times New Roman"/>
                <w:sz w:val="28"/>
                <w:szCs w:val="28"/>
              </w:rPr>
            </w:pPr>
            <w:r w:rsidRPr="0080054B">
              <w:rPr>
                <w:rFonts w:ascii="Times New Roman" w:hAnsi="Times New Roman"/>
                <w:sz w:val="28"/>
                <w:szCs w:val="28"/>
              </w:rPr>
              <w:t>об’єднаннями ветеранів війни</w:t>
            </w:r>
          </w:p>
          <w:p w14:paraId="025FB9CB" w14:textId="77777777" w:rsidR="008A64E6" w:rsidRDefault="008A64E6" w:rsidP="008D51E1">
            <w:pPr>
              <w:ind w:right="130" w:firstLine="567"/>
              <w:jc w:val="right"/>
              <w:rPr>
                <w:rFonts w:ascii="Times New Roman" w:hAnsi="Times New Roman"/>
                <w:sz w:val="28"/>
                <w:szCs w:val="28"/>
              </w:rPr>
            </w:pPr>
            <w:r w:rsidRPr="0080054B">
              <w:rPr>
                <w:rFonts w:ascii="Times New Roman" w:hAnsi="Times New Roman"/>
                <w:sz w:val="28"/>
                <w:szCs w:val="28"/>
              </w:rPr>
              <w:t>(пункт 23)</w:t>
            </w:r>
          </w:p>
          <w:p w14:paraId="06FC7989" w14:textId="77777777" w:rsidR="00502683" w:rsidRDefault="00D84DC8" w:rsidP="00F15961">
            <w:pPr>
              <w:ind w:firstLine="567"/>
              <w:jc w:val="both"/>
              <w:rPr>
                <w:rFonts w:ascii="Times New Roman" w:hAnsi="Times New Roman"/>
                <w:sz w:val="28"/>
                <w:szCs w:val="28"/>
              </w:rPr>
            </w:pPr>
            <w:r>
              <w:rPr>
                <w:rFonts w:ascii="Times New Roman" w:hAnsi="Times New Roman"/>
                <w:sz w:val="28"/>
                <w:szCs w:val="28"/>
              </w:rPr>
              <w:t>..</w:t>
            </w:r>
          </w:p>
          <w:tbl>
            <w:tblPr>
              <w:tblpPr w:leftFromText="180" w:rightFromText="180" w:vertAnchor="text" w:horzAnchor="page" w:tblpX="10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126"/>
              <w:gridCol w:w="4531"/>
            </w:tblGrid>
            <w:tr w:rsidR="00D84DC8" w14:paraId="14D6CAD7" w14:textId="77777777" w:rsidTr="00634C4B">
              <w:trPr>
                <w:trHeight w:val="720"/>
              </w:trPr>
              <w:tc>
                <w:tcPr>
                  <w:tcW w:w="421" w:type="dxa"/>
                </w:tcPr>
                <w:p w14:paraId="17D4CBCD" w14:textId="77777777" w:rsidR="00D84DC8" w:rsidRDefault="00D84DC8" w:rsidP="00D84DC8">
                  <w:pPr>
                    <w:jc w:val="both"/>
                    <w:rPr>
                      <w:rFonts w:ascii="Times New Roman" w:hAnsi="Times New Roman"/>
                      <w:sz w:val="28"/>
                      <w:szCs w:val="28"/>
                    </w:rPr>
                  </w:pPr>
                  <w:r>
                    <w:rPr>
                      <w:rFonts w:ascii="Times New Roman" w:hAnsi="Times New Roman"/>
                      <w:sz w:val="28"/>
                      <w:szCs w:val="28"/>
                    </w:rPr>
                    <w:t>9</w:t>
                  </w:r>
                </w:p>
              </w:tc>
              <w:tc>
                <w:tcPr>
                  <w:tcW w:w="2126" w:type="dxa"/>
                </w:tcPr>
                <w:p w14:paraId="599B44DF" w14:textId="77777777" w:rsidR="00D84DC8" w:rsidRDefault="00D84DC8" w:rsidP="00D84DC8">
                  <w:pPr>
                    <w:jc w:val="both"/>
                    <w:rPr>
                      <w:rFonts w:ascii="Times New Roman" w:hAnsi="Times New Roman"/>
                      <w:sz w:val="28"/>
                      <w:szCs w:val="28"/>
                    </w:rPr>
                  </w:pPr>
                  <w:r w:rsidRPr="008A64E6">
                    <w:rPr>
                      <w:rFonts w:ascii="Times New Roman" w:hAnsi="Times New Roman"/>
                      <w:sz w:val="28"/>
                      <w:szCs w:val="28"/>
                    </w:rPr>
                    <w:t>Оплата інформаційних послуг</w:t>
                  </w:r>
                </w:p>
              </w:tc>
              <w:tc>
                <w:tcPr>
                  <w:tcW w:w="4531" w:type="dxa"/>
                </w:tcPr>
                <w:p w14:paraId="34AE1134" w14:textId="7DE7654B" w:rsidR="00D84DC8" w:rsidRDefault="00D84DC8" w:rsidP="00D84DC8">
                  <w:pPr>
                    <w:jc w:val="both"/>
                    <w:rPr>
                      <w:rFonts w:ascii="Times New Roman" w:hAnsi="Times New Roman"/>
                      <w:sz w:val="28"/>
                      <w:szCs w:val="28"/>
                    </w:rPr>
                  </w:pPr>
                  <w:r w:rsidRPr="008A64E6">
                    <w:rPr>
                      <w:rFonts w:ascii="Times New Roman" w:hAnsi="Times New Roman"/>
                      <w:sz w:val="28"/>
                      <w:szCs w:val="28"/>
                    </w:rPr>
                    <w:t xml:space="preserve">Видатки на оплату інформаційних послуг (на аудіо-, фото-, відеоматеріали, розміщення матеріалів у </w:t>
                  </w:r>
                  <w:r>
                    <w:rPr>
                      <w:rFonts w:ascii="Times New Roman" w:hAnsi="Times New Roman"/>
                      <w:b/>
                      <w:bCs/>
                      <w:sz w:val="28"/>
                      <w:szCs w:val="28"/>
                    </w:rPr>
                    <w:t>медіа</w:t>
                  </w:r>
                  <w:r w:rsidRPr="008A64E6">
                    <w:rPr>
                      <w:rFonts w:ascii="Times New Roman" w:hAnsi="Times New Roman"/>
                      <w:sz w:val="28"/>
                      <w:szCs w:val="28"/>
                    </w:rPr>
                    <w:t xml:space="preserve"> та інших інформаційних джерелах) визначаються відповідно до діючих розцінок та кількості наданих послуг</w:t>
                  </w:r>
                </w:p>
              </w:tc>
            </w:tr>
          </w:tbl>
          <w:p w14:paraId="43FB0288" w14:textId="77777777" w:rsidR="00D84DC8" w:rsidRDefault="00D84DC8" w:rsidP="00F15961">
            <w:pPr>
              <w:ind w:firstLine="567"/>
              <w:jc w:val="both"/>
              <w:rPr>
                <w:rFonts w:ascii="Times New Roman" w:hAnsi="Times New Roman"/>
                <w:sz w:val="28"/>
                <w:szCs w:val="28"/>
              </w:rPr>
            </w:pPr>
          </w:p>
          <w:p w14:paraId="16D5DF06" w14:textId="60179244" w:rsidR="008D51E1" w:rsidRPr="005A1CBA" w:rsidRDefault="008D51E1" w:rsidP="00F15961">
            <w:pPr>
              <w:ind w:firstLine="567"/>
              <w:jc w:val="both"/>
              <w:rPr>
                <w:rFonts w:ascii="Times New Roman" w:hAnsi="Times New Roman"/>
                <w:sz w:val="28"/>
                <w:szCs w:val="28"/>
              </w:rPr>
            </w:pPr>
            <w:r>
              <w:rPr>
                <w:rFonts w:ascii="Times New Roman" w:hAnsi="Times New Roman"/>
                <w:sz w:val="28"/>
                <w:szCs w:val="28"/>
              </w:rPr>
              <w:t>…</w:t>
            </w:r>
          </w:p>
        </w:tc>
      </w:tr>
    </w:tbl>
    <w:p w14:paraId="37B0BD8F" w14:textId="40BDB217" w:rsidR="00833DE1" w:rsidRDefault="00833DE1">
      <w:pPr>
        <w:spacing w:after="0" w:line="360" w:lineRule="auto"/>
        <w:rPr>
          <w:rFonts w:ascii="Times New Roman" w:hAnsi="Times New Roman"/>
          <w:b/>
          <w:bCs/>
          <w:sz w:val="28"/>
          <w:szCs w:val="28"/>
        </w:rPr>
      </w:pPr>
    </w:p>
    <w:p w14:paraId="4865EC01" w14:textId="77777777" w:rsidR="00E557C1" w:rsidRDefault="00E557C1">
      <w:pPr>
        <w:spacing w:after="0" w:line="360" w:lineRule="auto"/>
        <w:rPr>
          <w:rFonts w:ascii="Times New Roman" w:hAnsi="Times New Roman"/>
          <w:b/>
          <w:bCs/>
          <w:sz w:val="28"/>
          <w:szCs w:val="28"/>
        </w:rPr>
      </w:pPr>
    </w:p>
    <w:p w14:paraId="445F7399" w14:textId="5E364786" w:rsidR="00833DE1" w:rsidRDefault="005A3960">
      <w:pPr>
        <w:spacing w:line="240" w:lineRule="auto"/>
        <w:contextualSpacing/>
        <w:jc w:val="both"/>
        <w:rPr>
          <w:rFonts w:ascii="Times New Roman" w:hAnsi="Times New Roman"/>
          <w:b/>
          <w:sz w:val="28"/>
          <w:szCs w:val="28"/>
        </w:rPr>
      </w:pPr>
      <w:r>
        <w:rPr>
          <w:rFonts w:ascii="Times New Roman" w:hAnsi="Times New Roman"/>
          <w:b/>
          <w:sz w:val="28"/>
          <w:szCs w:val="28"/>
        </w:rPr>
        <w:t xml:space="preserve">Заступник </w:t>
      </w:r>
      <w:r w:rsidR="00451B43">
        <w:rPr>
          <w:rFonts w:ascii="Times New Roman" w:hAnsi="Times New Roman"/>
          <w:b/>
          <w:sz w:val="28"/>
          <w:szCs w:val="28"/>
        </w:rPr>
        <w:t>Міністра у справах ветеранів України</w:t>
      </w:r>
      <w:r w:rsidR="00451B43">
        <w:rPr>
          <w:rFonts w:ascii="Times New Roman" w:hAnsi="Times New Roman"/>
          <w:b/>
          <w:sz w:val="28"/>
          <w:szCs w:val="28"/>
        </w:rPr>
        <w:tab/>
        <w:t xml:space="preserve"> </w:t>
      </w:r>
      <w:r w:rsidR="00451B43">
        <w:rPr>
          <w:rFonts w:ascii="Times New Roman" w:hAnsi="Times New Roman"/>
          <w:b/>
          <w:sz w:val="28"/>
          <w:szCs w:val="28"/>
        </w:rPr>
        <w:tab/>
      </w:r>
      <w:r w:rsidR="00451B43">
        <w:rPr>
          <w:rFonts w:ascii="Times New Roman" w:hAnsi="Times New Roman"/>
          <w:b/>
          <w:sz w:val="28"/>
          <w:szCs w:val="28"/>
        </w:rPr>
        <w:tab/>
      </w:r>
      <w:r w:rsidR="00451B43">
        <w:rPr>
          <w:rFonts w:ascii="Times New Roman" w:hAnsi="Times New Roman"/>
          <w:b/>
          <w:sz w:val="28"/>
          <w:szCs w:val="28"/>
        </w:rPr>
        <w:tab/>
        <w:t xml:space="preserve">         </w:t>
      </w:r>
      <w:r w:rsidR="008D51E1">
        <w:rPr>
          <w:rFonts w:ascii="Times New Roman" w:hAnsi="Times New Roman"/>
          <w:b/>
          <w:sz w:val="28"/>
          <w:szCs w:val="28"/>
        </w:rPr>
        <w:t xml:space="preserve">       </w:t>
      </w:r>
      <w:r w:rsidR="00451B43">
        <w:rPr>
          <w:rFonts w:ascii="Times New Roman" w:hAnsi="Times New Roman"/>
          <w:b/>
          <w:sz w:val="28"/>
          <w:szCs w:val="28"/>
        </w:rPr>
        <w:t xml:space="preserve">                        </w:t>
      </w:r>
      <w:r>
        <w:rPr>
          <w:rFonts w:ascii="Times New Roman" w:hAnsi="Times New Roman"/>
          <w:b/>
          <w:sz w:val="28"/>
          <w:szCs w:val="28"/>
        </w:rPr>
        <w:t>Руслан ПРИХОДЬКО</w:t>
      </w:r>
    </w:p>
    <w:sectPr w:rsidR="00833DE1" w:rsidSect="00F15961">
      <w:headerReference w:type="default" r:id="rId6"/>
      <w:pgSz w:w="16839" w:h="11907" w:orient="landscape" w:code="9"/>
      <w:pgMar w:top="1134" w:right="1134" w:bottom="1418" w:left="1134" w:header="51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E8F6" w14:textId="77777777" w:rsidR="003D6293" w:rsidRDefault="003D6293">
      <w:pPr>
        <w:spacing w:after="0" w:line="240" w:lineRule="auto"/>
      </w:pPr>
    </w:p>
  </w:endnote>
  <w:endnote w:type="continuationSeparator" w:id="0">
    <w:p w14:paraId="3D68FF55" w14:textId="77777777" w:rsidR="003D6293" w:rsidRDefault="003D6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413F" w14:textId="77777777" w:rsidR="003D6293" w:rsidRDefault="003D6293">
      <w:pPr>
        <w:spacing w:after="0" w:line="240" w:lineRule="auto"/>
      </w:pPr>
    </w:p>
  </w:footnote>
  <w:footnote w:type="continuationSeparator" w:id="0">
    <w:p w14:paraId="579DA38A" w14:textId="77777777" w:rsidR="003D6293" w:rsidRDefault="003D6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5045" w14:textId="77777777" w:rsidR="00833DE1" w:rsidRDefault="00451B43">
    <w:pPr>
      <w:pStyle w:val="a3"/>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rPr>
      <w:t>#</w:t>
    </w:r>
    <w:r>
      <w:rPr>
        <w:rFonts w:ascii="Times New Roman" w:hAnsi="Times New Roman"/>
        <w:sz w:val="28"/>
        <w:szCs w:val="28"/>
      </w:rPr>
      <w:fldChar w:fldCharType="end"/>
    </w:r>
  </w:p>
  <w:p w14:paraId="3F743D16" w14:textId="77777777" w:rsidR="00833DE1" w:rsidRDefault="00833DE1">
    <w:pPr>
      <w:pStyle w:val="a3"/>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E1"/>
    <w:rsid w:val="0002405F"/>
    <w:rsid w:val="00034EBB"/>
    <w:rsid w:val="00053233"/>
    <w:rsid w:val="001F047D"/>
    <w:rsid w:val="00204A69"/>
    <w:rsid w:val="002D760E"/>
    <w:rsid w:val="002E013F"/>
    <w:rsid w:val="00370432"/>
    <w:rsid w:val="003724B7"/>
    <w:rsid w:val="003A2BA1"/>
    <w:rsid w:val="003B77FB"/>
    <w:rsid w:val="003D6293"/>
    <w:rsid w:val="003F465D"/>
    <w:rsid w:val="00410F9F"/>
    <w:rsid w:val="00451B43"/>
    <w:rsid w:val="004A262B"/>
    <w:rsid w:val="004B453E"/>
    <w:rsid w:val="004D4C52"/>
    <w:rsid w:val="00502683"/>
    <w:rsid w:val="00507D06"/>
    <w:rsid w:val="0052355A"/>
    <w:rsid w:val="00526226"/>
    <w:rsid w:val="00556B54"/>
    <w:rsid w:val="00573BFA"/>
    <w:rsid w:val="005A1CBA"/>
    <w:rsid w:val="005A3960"/>
    <w:rsid w:val="00634C4B"/>
    <w:rsid w:val="0065763F"/>
    <w:rsid w:val="00667D7E"/>
    <w:rsid w:val="00673808"/>
    <w:rsid w:val="006C42FA"/>
    <w:rsid w:val="0071208E"/>
    <w:rsid w:val="00734806"/>
    <w:rsid w:val="007358DA"/>
    <w:rsid w:val="007C16D0"/>
    <w:rsid w:val="0080054B"/>
    <w:rsid w:val="00833DE1"/>
    <w:rsid w:val="008414AF"/>
    <w:rsid w:val="00867B15"/>
    <w:rsid w:val="00890917"/>
    <w:rsid w:val="008A64E6"/>
    <w:rsid w:val="008D51E1"/>
    <w:rsid w:val="00901CA9"/>
    <w:rsid w:val="00940EAD"/>
    <w:rsid w:val="009521F4"/>
    <w:rsid w:val="00960C01"/>
    <w:rsid w:val="00976A16"/>
    <w:rsid w:val="00A16359"/>
    <w:rsid w:val="00A22421"/>
    <w:rsid w:val="00A560DD"/>
    <w:rsid w:val="00AE3AEB"/>
    <w:rsid w:val="00AF2C1D"/>
    <w:rsid w:val="00B2084D"/>
    <w:rsid w:val="00B91E2A"/>
    <w:rsid w:val="00BA2F06"/>
    <w:rsid w:val="00C66533"/>
    <w:rsid w:val="00C730A8"/>
    <w:rsid w:val="00CA38E6"/>
    <w:rsid w:val="00D2339B"/>
    <w:rsid w:val="00D63FC2"/>
    <w:rsid w:val="00D84DC8"/>
    <w:rsid w:val="00D91684"/>
    <w:rsid w:val="00DB1EE7"/>
    <w:rsid w:val="00DB3A74"/>
    <w:rsid w:val="00E01A7B"/>
    <w:rsid w:val="00E557C1"/>
    <w:rsid w:val="00E7520A"/>
    <w:rsid w:val="00E919D8"/>
    <w:rsid w:val="00E94D5C"/>
    <w:rsid w:val="00ED5317"/>
    <w:rsid w:val="00F15961"/>
    <w:rsid w:val="00F71BE3"/>
    <w:rsid w:val="00F836E2"/>
    <w:rsid w:val="00FB68B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BC5C"/>
  <w15:docId w15:val="{E6819D26-1326-41DE-9AC1-EE9EC1F7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spacing w:after="0" w:line="240" w:lineRule="auto"/>
    </w:pPr>
  </w:style>
  <w:style w:type="paragraph" w:styleId="a5">
    <w:name w:val="footer"/>
    <w:basedOn w:val="a"/>
    <w:link w:val="a6"/>
    <w:pPr>
      <w:tabs>
        <w:tab w:val="center" w:pos="4677"/>
        <w:tab w:val="right" w:pos="9355"/>
      </w:tabs>
      <w:spacing w:after="0" w:line="240" w:lineRule="auto"/>
    </w:pPr>
  </w:style>
  <w:style w:type="paragraph" w:styleId="a7">
    <w:name w:val="footnote text"/>
    <w:link w:val="a8"/>
    <w:semiHidden/>
    <w:pPr>
      <w:spacing w:after="0" w:line="240" w:lineRule="auto"/>
    </w:pPr>
    <w:rPr>
      <w:sz w:val="20"/>
      <w:szCs w:val="20"/>
    </w:rPr>
  </w:style>
  <w:style w:type="paragraph" w:styleId="a9">
    <w:name w:val="endnote text"/>
    <w:link w:val="aa"/>
    <w:semiHidden/>
    <w:pPr>
      <w:spacing w:after="0" w:line="240" w:lineRule="auto"/>
    </w:pPr>
    <w:rPr>
      <w:sz w:val="20"/>
      <w:szCs w:val="20"/>
    </w:rPr>
  </w:style>
  <w:style w:type="paragraph" w:styleId="ab">
    <w:name w:val="annotation text"/>
    <w:basedOn w:val="a"/>
    <w:link w:val="ac"/>
    <w:semiHidden/>
    <w:pPr>
      <w:spacing w:line="240" w:lineRule="auto"/>
    </w:pPr>
    <w:rPr>
      <w:sz w:val="20"/>
      <w:szCs w:val="20"/>
    </w:rPr>
  </w:style>
  <w:style w:type="paragraph" w:styleId="ad">
    <w:name w:val="annotation subject"/>
    <w:basedOn w:val="ab"/>
    <w:next w:val="ab"/>
    <w:link w:val="ae"/>
    <w:semiHidden/>
    <w:rPr>
      <w:b/>
      <w:bCs/>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styleId="af">
    <w:name w:val="line number"/>
    <w:basedOn w:val="a0"/>
    <w:semiHidden/>
  </w:style>
  <w:style w:type="character" w:styleId="af0">
    <w:name w:val="Hyperlink"/>
    <w:basedOn w:val="a0"/>
    <w:rPr>
      <w:color w:val="0563C1" w:themeColor="hyperlink"/>
      <w:u w:val="single"/>
    </w:rPr>
  </w:style>
  <w:style w:type="character" w:customStyle="1" w:styleId="a4">
    <w:name w:val="Верхній колонтитул Знак"/>
    <w:basedOn w:val="a0"/>
    <w:link w:val="a3"/>
  </w:style>
  <w:style w:type="character" w:customStyle="1" w:styleId="a6">
    <w:name w:val="Нижній колонтитул Знак"/>
    <w:basedOn w:val="a0"/>
    <w:link w:val="a5"/>
  </w:style>
  <w:style w:type="character" w:styleId="af1">
    <w:name w:val="footnote reference"/>
    <w:semiHidden/>
    <w:rPr>
      <w:vertAlign w:val="superscript"/>
    </w:rPr>
  </w:style>
  <w:style w:type="character" w:customStyle="1" w:styleId="a8">
    <w:name w:val="Текст виноски Знак"/>
    <w:link w:val="a7"/>
    <w:semiHidden/>
    <w:rPr>
      <w:sz w:val="20"/>
      <w:szCs w:val="20"/>
    </w:rPr>
  </w:style>
  <w:style w:type="character" w:styleId="af2">
    <w:name w:val="endnote reference"/>
    <w:semiHidden/>
    <w:rPr>
      <w:vertAlign w:val="superscript"/>
    </w:rPr>
  </w:style>
  <w:style w:type="character" w:customStyle="1" w:styleId="aa">
    <w:name w:val="Текст кінцевої виноски Знак"/>
    <w:link w:val="a9"/>
    <w:semiHidden/>
    <w:rPr>
      <w:sz w:val="20"/>
      <w:szCs w:val="20"/>
    </w:rPr>
  </w:style>
  <w:style w:type="character" w:styleId="af3">
    <w:name w:val="annotation reference"/>
    <w:basedOn w:val="a0"/>
    <w:semiHidden/>
    <w:rPr>
      <w:sz w:val="16"/>
      <w:szCs w:val="16"/>
    </w:rPr>
  </w:style>
  <w:style w:type="character" w:customStyle="1" w:styleId="ac">
    <w:name w:val="Текст примітки Знак"/>
    <w:basedOn w:val="a0"/>
    <w:link w:val="ab"/>
    <w:semiHidden/>
    <w:rPr>
      <w:sz w:val="20"/>
      <w:szCs w:val="20"/>
    </w:rPr>
  </w:style>
  <w:style w:type="character" w:customStyle="1" w:styleId="ae">
    <w:name w:val="Тема примітки Знак"/>
    <w:basedOn w:val="ac"/>
    <w:link w:val="ad"/>
    <w:semiHidden/>
    <w:rPr>
      <w:b/>
      <w:bCs/>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910">
      <w:bodyDiv w:val="1"/>
      <w:marLeft w:val="0"/>
      <w:marRight w:val="0"/>
      <w:marTop w:val="0"/>
      <w:marBottom w:val="0"/>
      <w:divBdr>
        <w:top w:val="none" w:sz="0" w:space="0" w:color="auto"/>
        <w:left w:val="none" w:sz="0" w:space="0" w:color="auto"/>
        <w:bottom w:val="none" w:sz="0" w:space="0" w:color="auto"/>
        <w:right w:val="none" w:sz="0" w:space="0" w:color="auto"/>
      </w:divBdr>
    </w:div>
    <w:div w:id="778064630">
      <w:bodyDiv w:val="1"/>
      <w:marLeft w:val="0"/>
      <w:marRight w:val="0"/>
      <w:marTop w:val="0"/>
      <w:marBottom w:val="0"/>
      <w:divBdr>
        <w:top w:val="none" w:sz="0" w:space="0" w:color="auto"/>
        <w:left w:val="none" w:sz="0" w:space="0" w:color="auto"/>
        <w:bottom w:val="none" w:sz="0" w:space="0" w:color="auto"/>
        <w:right w:val="none" w:sz="0" w:space="0" w:color="auto"/>
      </w:divBdr>
    </w:div>
    <w:div w:id="1133710848">
      <w:bodyDiv w:val="1"/>
      <w:marLeft w:val="0"/>
      <w:marRight w:val="0"/>
      <w:marTop w:val="0"/>
      <w:marBottom w:val="0"/>
      <w:divBdr>
        <w:top w:val="none" w:sz="0" w:space="0" w:color="auto"/>
        <w:left w:val="none" w:sz="0" w:space="0" w:color="auto"/>
        <w:bottom w:val="none" w:sz="0" w:space="0" w:color="auto"/>
        <w:right w:val="none" w:sz="0" w:space="0" w:color="auto"/>
      </w:divBdr>
    </w:div>
    <w:div w:id="206740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10850</Words>
  <Characters>6185</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Minvet Minvet</dc:creator>
  <cp:keywords/>
  <dc:description/>
  <cp:lastModifiedBy>Шульга Сніжана Олександрівна</cp:lastModifiedBy>
  <cp:revision>2</cp:revision>
  <dcterms:created xsi:type="dcterms:W3CDTF">2024-06-27T07:09:00Z</dcterms:created>
  <dcterms:modified xsi:type="dcterms:W3CDTF">2024-06-27T07:09:00Z</dcterms:modified>
</cp:coreProperties>
</file>