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keepNext w:val="1"/>
        <w:keepLines w:val="1"/>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240" w:beforeAutospacing="0" w:afterAutospacing="0"/>
        <w:ind w:left="3969"/>
        <w:jc w:val="center"/>
        <w:rPr>
          <w:rFonts w:ascii="Times New Roman" w:hAnsi="Times New Roman"/>
          <w:color w:val="000000"/>
          <w:sz w:val="28"/>
          <w:szCs w:val="28"/>
        </w:rPr>
      </w:pPr>
      <w:r>
        <w:rPr>
          <w:rFonts w:ascii="Times New Roman" w:hAnsi="Times New Roman"/>
          <w:color w:val="000000"/>
          <w:sz w:val="28"/>
          <w:szCs w:val="28"/>
        </w:rPr>
        <w:t>ЗАТВЕРДЖЕНО</w:t>
        <w:br w:type="textWrapping"/>
        <w:t>постановою Кабінету Міністрів України</w:t>
        <w:br w:type="textWrapping"/>
        <w:t xml:space="preserve">від </w:t>
        <w:tab/>
        <w:tab/>
        <w:tab/>
        <w:t>202</w:t>
      </w:r>
      <w:r>
        <w:rPr>
          <w:rFonts w:ascii="Times New Roman" w:hAnsi="Times New Roman"/>
          <w:color w:val="000000"/>
          <w:sz w:val="28"/>
          <w:szCs w:val="28"/>
          <w:lang w:val="ru-RU"/>
        </w:rPr>
        <w:t>5</w:t>
      </w:r>
      <w:r>
        <w:rPr>
          <w:rFonts w:ascii="Times New Roman" w:hAnsi="Times New Roman"/>
          <w:color w:val="000000"/>
          <w:sz w:val="28"/>
          <w:szCs w:val="28"/>
        </w:rPr>
        <w:t xml:space="preserve"> р. №</w:t>
      </w:r>
    </w:p>
    <w:p>
      <w:pPr>
        <w:spacing w:lineRule="auto" w:line="240" w:before="120" w:beforeAutospacing="0" w:afterAutospacing="0"/>
        <w:ind w:firstLine="567"/>
        <w:jc w:val="center"/>
        <w:rPr>
          <w:rFonts w:ascii="Times New Roman" w:hAnsi="Times New Roman"/>
          <w:sz w:val="28"/>
          <w:szCs w:val="28"/>
        </w:rPr>
      </w:pPr>
    </w:p>
    <w:p>
      <w:pPr>
        <w:spacing w:lineRule="auto" w:line="240" w:before="120" w:beforeAutospacing="0" w:afterAutospacing="0"/>
        <w:ind w:firstLine="567"/>
        <w:jc w:val="center"/>
        <w:rPr>
          <w:rFonts w:ascii="Times New Roman" w:hAnsi="Times New Roman"/>
          <w:sz w:val="28"/>
          <w:szCs w:val="28"/>
        </w:rPr>
      </w:pPr>
    </w:p>
    <w:p>
      <w:pPr>
        <w:spacing w:lineRule="auto" w:line="240" w:before="120" w:after="240" w:beforeAutospacing="0" w:afterAutospacing="0"/>
        <w:jc w:val="center"/>
        <w:rPr>
          <w:rFonts w:ascii="Times New Roman" w:hAnsi="Times New Roman"/>
          <w:sz w:val="28"/>
          <w:szCs w:val="28"/>
        </w:rPr>
      </w:pPr>
      <w:r>
        <w:rPr>
          <w:rFonts w:ascii="Times New Roman" w:hAnsi="Times New Roman"/>
          <w:sz w:val="28"/>
          <w:szCs w:val="28"/>
        </w:rPr>
        <w:t xml:space="preserve">ПОРЯДОК </w:t>
        <w:br w:type="textWrapping"/>
        <w:t xml:space="preserve">реалізації експериментального проекту </w:t>
        <w:br w:type="textWrapping"/>
        <w:t xml:space="preserve">щодо створення та забезпечення функціонування </w:t>
        <w:br w:type="textWrapping"/>
        <w:t>на території України мережі ветеранських просторів</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1. Цей Порядок визначає механізм реалізації експериментального проекту щодо створення та забезпечення функціонування на території України мережі ветеранських просторів (далі — експериментальний проект).</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2. У цьому Порядку терміни вживаються в такому значенні:</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1) ветеранський простір — заклад, заснований на державній, комунальній або приватній формі власності, діяльність якого спрямована на сприяння реінтеграції ветеранів війни в цивільне життя, організацію їх комплексної реабілітації та адаптації, формування, зміцнення життєстійкості, надання інформаційно-консультативної, психологічної, правової та іншої підтримки і допомоги ветеранам війни, членам їх сімей, члени сімей загиблих (померлих) ветеранів війни, членам сімей загиблих (померлих) Захисників і Захисниць України;</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2) відвідувачі ветеранського простору (далі — відвідувачі) — ветерани війни, члени їх сімей, члени сімей загиблих (померлих) ветеранів війни, члени сімей загиблих (померлих) Захисників і Захисниць України;</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3) державна установа “Ветеранський простір” — бюджетна, неприбуткова державна установа, що належить до сфери управління Мінветеранів, основним завданням якої є виконання заходів щодо розбудови мережі державних ветеранських просторів, а також забезпечення їх ефективного функціонування;</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4) інформаційно-консультативна підтримка — надання деталізованої інформації та роз’яснень для відвідувачів ветеранських просторів, в сфері державної ветеранської політики, зокрема щодо можливостей та шляхів реалізації права на отримання послуг, підтримки та допомоги, в рамках державних цільових програм та гарантій.</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before="120" w:beforeAutospacing="0" w:afterAutospacing="0"/>
        <w:ind w:firstLine="567"/>
        <w:jc w:val="both"/>
        <w:rPr>
          <w:rFonts w:ascii="Times New Roman" w:hAnsi="Times New Roman"/>
          <w:color w:val="000000"/>
          <w:sz w:val="28"/>
          <w:szCs w:val="28"/>
        </w:rPr>
      </w:pPr>
      <w:r>
        <w:rPr>
          <w:rFonts w:ascii="Times New Roman" w:hAnsi="Times New Roman"/>
          <w:color w:val="000000"/>
          <w:sz w:val="28"/>
          <w:szCs w:val="28"/>
        </w:rPr>
        <w:t>Інші терміни вживаються у значенні, наведеному в Законі України “Про статус ветеранів війни, гарантії їх соціального захисту” та інших нормативно-правових актах.</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3. Учасниками експериментального проекту є:</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обласні, районні, Київська та Севастопольська міські державні (військові) адміністрації;</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виконавчі органи сільської, селищної, міської ради (за згодою);</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державна установа “Ветеранський простір” (за згодою);</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підприємства, установи, організації будь-якої форми власності (окрім комунальних установ — надавачів соціальних послуг), які добровільно виявили бажання утворити ветеранський простір та забезпечувати його функціонування.</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4. Координатором реалізації експериментального проекту є Мінветеранів.</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5. Метою діяльності ветеранських просторів є:</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1) надання інформаційно-консультативної підтримки відвідувачам;</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2) здійснення заходів із сприяння у наданні відвідувачам послуг із професійної та соціальної адаптації, їх професійної орієнтації, а також інших послуг, зокрема, соціальних, реабілітаційних, освітніх та медичних;</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3)</w:t>
      </w:r>
      <w:r>
        <w:t xml:space="preserve"> </w:t>
      </w:r>
      <w:r>
        <w:rPr>
          <w:rFonts w:ascii="Times New Roman" w:hAnsi="Times New Roman"/>
          <w:sz w:val="28"/>
          <w:szCs w:val="28"/>
        </w:rPr>
        <w:t>сприяння зайнятості, зокрема шляхом розвитку ветеранського підприємництва (консультування, допомога у відкритті власної справи), та забезпечення заходів з підвищення рівня фінансової та цифрової грамотності;</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4) забезпечення надання відвідувачам психологічної підтримки;</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5) забезпечення отримання відвідувачами правничої допомоги;</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6) створення осередку взаємодії відвідувачів для взаємодопомоги, підтримки та спілкування;</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mallCaps w:val="0"/>
          <w:sz w:val="28"/>
          <w:szCs w:val="22"/>
          <w:cs w:val="0"/>
          <w:spacing w:val="0"/>
          <w:w w:val="100"/>
          <w:position w:val="0"/>
          <w:snapToGrid w:val="1"/>
        </w:rPr>
        <w:t>7</w:t>
      </w:r>
      <w:r>
        <w:rPr>
          <w:rFonts w:ascii="Times New Roman" w:hAnsi="Times New Roman"/>
          <w:sz w:val="28"/>
          <w:szCs w:val="28"/>
        </w:rPr>
        <w:t>) участь у розвитку міжнародного ветеранського співробітництва та міжрегіональної взаємодії ветеранської спільноти в Україні;</w:t>
      </w:r>
    </w:p>
    <w:p>
      <w:pPr>
        <w:spacing w:lineRule="auto" w:line="240" w:before="120" w:beforeAutospacing="0" w:afterAutospacing="0"/>
        <w:ind w:firstLine="567"/>
        <w:jc w:val="both"/>
        <w:rPr>
          <w:rFonts w:ascii="Times New Roman" w:hAnsi="Times New Roman"/>
          <w:bCs w:val="1"/>
          <w:sz w:val="28"/>
          <w:szCs w:val="28"/>
        </w:rPr>
      </w:pPr>
      <w:r>
        <w:rPr>
          <w:rFonts w:ascii="Times New Roman" w:hAnsi="Times New Roman"/>
          <w:bCs w:val="0"/>
          <w:smallCaps w:val="0"/>
          <w:sz w:val="28"/>
          <w:szCs w:val="22"/>
          <w:cs w:val="0"/>
          <w:spacing w:val="0"/>
          <w:w w:val="100"/>
          <w:position w:val="0"/>
          <w:snapToGrid w:val="1"/>
        </w:rPr>
        <w:t>8</w:t>
      </w:r>
      <w:r>
        <w:rPr>
          <w:rFonts w:ascii="Times New Roman" w:hAnsi="Times New Roman"/>
          <w:bCs w:val="1"/>
          <w:sz w:val="28"/>
          <w:szCs w:val="28"/>
        </w:rPr>
        <w:t>) участь у вшануванні пам’яті загиблих, померлих ветеранів війни, Захисників і Захисниць України.</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6. Основними завданнями, на виконання яких спрямовано створення мережі ветеранських просторів, є:</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1) створення розгалуженої мережі державних ветеранських просторів, з метою рівної територіальної можливості використання їх спроможностей відвідувачами на всій території України;</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2) стандартизація в роботі ветеранських просторів всіх форм власності, незалежно від місцевості їх розташування щодо однакових можливостей отримання в них ветеранами війни інформації, послуг та допомоги;</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3) залучення до використання можливостей державних ветеранських просторів всіх відвідувачів;</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4)  створення умов для обміну досвідом та впровадження нових технік, інструментів підтримки та допомоги;</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5) проведення інформаційно-просвітницької роботи, включаючи, конференції, форуми, семінари, тренінги, майстер-класи тощо;</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6) організація відзначення святкових, пам’ятних та історичних дат, пов’язаних із вшануванням ветеранів війни;</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7) організація дозвілля та активного відпочинку відвідувачів;</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8) створення умов для саморозвитку та самовдосконалення.</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7. Загальна координація діяльності державних ветеранських просторів та визначення порядку забезпечення їх функціонування здійснюється державною установою “Ветеранський простір”.</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Фінансове забезпечення заходів щодо розбудови мережі державних ветеранських просторів здійснюється за рахунок коштів державного бюджету, а також за рахунок інших джерел, не заборонених законодавством.</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8. Державні ветеранські простори створюються державною установою “Ветеранський простір”.</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Створення державних ветеранських просторів на</w:t>
      </w:r>
      <w:r>
        <w:t xml:space="preserve"> </w:t>
      </w:r>
      <w:r>
        <w:rPr>
          <w:rFonts w:ascii="Times New Roman" w:hAnsi="Times New Roman"/>
          <w:sz w:val="28"/>
          <w:szCs w:val="28"/>
        </w:rPr>
        <w:t>територіях, на яких ведуться бойові дії або тимчасово окупованих російською федерацією, може бути реалізоване після припинення чи скасування воєнного стану на всій території України, але не пізніше ніж через 2 роки після його припинення чи скасування.</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Ветеранські простори також можуть бути за згодою створені органами місцевого самоврядування, у формі комунальної установи чи закладу або їх структурного підрозділу або будь-яким іншим суб’єктом господарювання у формі, не забороненій законодавством із статусом юридичної особи або без такого (окрім комунальних установ — надавачів соціальних послуг).</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Підприємства, установи, організації, громадські об’єднання, благодійні організації, іноземні неурядові організації, міжнародні організації, фізичні особи — підприємці, а також фізичні особи можуть взяти участь у створенні ветеранського простору та/або забезпеченні його функціонування у формах, не заборонених законодавством.</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Загальна координація діяльності із забезпечення функціонування всіх ветеранських просторів здійснюється Мінветеранів безпосередньо та через</w:t>
        <w:br w:type="textWrapping"/>
        <w:t>державну установу “Ветеранський простір”, зокрема шляхом проведення координаційних нарад, створення постійних чи тимчасових робочих груп, розробки рекомендованих стандартних операційних процедур, обміну інформацією, в тому числі щодо кращих практик створення та забезпечення функціонування ветеранських просторів, організації проведення конференцій, тренінгів та інших заходів.</w:t>
      </w:r>
    </w:p>
    <w:p>
      <w:pPr>
        <w:spacing w:lineRule="auto" w:line="240" w:before="120" w:beforeAutospacing="0" w:afterAutospacing="0"/>
        <w:ind w:firstLine="567"/>
        <w:jc w:val="both"/>
      </w:pPr>
      <w:r>
        <w:rPr>
          <w:rFonts w:ascii="Times New Roman" w:hAnsi="Times New Roman"/>
          <w:sz w:val="28"/>
          <w:szCs w:val="28"/>
        </w:rPr>
        <w:t>9. Всі державні ветеранські простори створюються за єдиним архітектурним та функціональним стилем, який розробляється державною установою “Ветеранський простір” та затверджується Мінветеранів до початку будівельних робіт.</w:t>
      </w:r>
      <w:r>
        <w:t xml:space="preserve"> </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Ветеранські простори іншої форми власності можуть застосовувати стиль державних ветеранських просторів за погодженням з державною установою “Ветеранський простір”.</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10. Ветеранські простори мають відповідати вимогам щодо інклюзивності приміщень в частині доступності для осіб з інвалідністю та інших маломобільних відвідувачів.</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Перед входом до ветеранського простору розміщуються тактильні та контрастні позначки для осіб з інвалідністю з порушеннями зору. Вхід до ветеранського простору, який має сходи, повинен бути облаштований кнопкою виклику, пандусом та поручнями з обох боків для осіб з інвалідністю та інших маломобільних груп населення, а також місцями для тимчасового розміщення дитячих візочків.</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Ветеранські простори мають мати в будівлі (споруді), в яких організовується їх діяльність, або поряд з ними, захисні укриття (споруди) цивільного захисту, придатні для укриття відвідувачів та співробітників ветеранського простору і безпечного перебування в них.</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11. В державних ветеранських просторах обов’язково передбачаються робочі місця, які можуть бути використані представниками органів виконавчої влади та органів місцевого самоврядування для надання послуг та консультацій з напрямів їх діяльності.</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На території державного ветеранського простору створюються умови для можливості облаштування віддаленого робочого місця адміністратора центру надання адміністративних послуг, а також надання безоплатної правничої допомоги працівниками центрів з надання безоплатної правничої допомоги в порядку, встановленому Законом України </w:t>
      </w:r>
      <w:r>
        <w:rPr>
          <w:rFonts w:ascii="Times New Roman" w:hAnsi="Times New Roman"/>
          <w:sz w:val="28"/>
          <w:szCs w:val="28"/>
          <w:lang w:val="ru-RU"/>
        </w:rPr>
        <w:t>“</w:t>
      </w:r>
      <w:r>
        <w:rPr>
          <w:rFonts w:ascii="Times New Roman" w:hAnsi="Times New Roman"/>
          <w:sz w:val="28"/>
          <w:szCs w:val="28"/>
        </w:rPr>
        <w:t>Про безоплатну правничу допомогу</w:t>
      </w:r>
      <w:r>
        <w:rPr>
          <w:rFonts w:ascii="Times New Roman" w:hAnsi="Times New Roman"/>
          <w:sz w:val="28"/>
          <w:szCs w:val="28"/>
          <w:lang w:val="ru-RU"/>
        </w:rPr>
        <w:t>”</w:t>
      </w:r>
      <w:r>
        <w:rPr>
          <w:rFonts w:ascii="Times New Roman" w:hAnsi="Times New Roman"/>
          <w:sz w:val="28"/>
          <w:szCs w:val="28"/>
        </w:rPr>
        <w:t>.</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В державних ветеранських просторах створюються умови щодо проведення заходів з психологічної допомоги (індивідуальної та групової), до проведення яких залучаються спеціалісти в рамках надання послуг із психологічної допомоги для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постраждалих учасників Революції Гідності, членів сімей загиблих (померлих) ветеранів війни, членів сімей загиблих (померлих) Захисників та Захисниць України.</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12. Інформація про діючи ветеранські простори та їх контактні дані розміщується на офіційних вебсайтах Мінветеранів, державної установи “Ветеранський простір” та місцевих державних адміністрацій, а також може бути розміщена на сайтах органів місцевого самоврядування.</w:t>
      </w:r>
    </w:p>
    <w:p>
      <w:pPr>
        <w:spacing w:lineRule="auto" w:line="240" w:before="120" w:beforeAutospacing="0" w:afterAutospacing="0"/>
        <w:ind w:firstLine="567"/>
        <w:jc w:val="both"/>
        <w:rPr>
          <w:rFonts w:ascii="Times New Roman" w:hAnsi="Times New Roman"/>
          <w:sz w:val="28"/>
          <w:szCs w:val="28"/>
        </w:rPr>
      </w:pPr>
      <w:r>
        <w:rPr>
          <w:rFonts w:ascii="Times New Roman" w:hAnsi="Times New Roman"/>
          <w:sz w:val="28"/>
          <w:szCs w:val="28"/>
        </w:rPr>
        <w:t>13. Учасники експериментального проекту подають Мінветеранів</w:t>
        <w:br w:type="textWrapping"/>
        <w:t>до 1 числа місяця, наступного за звітним, інформацію про стан реалізації експериментального проекту в межах компетенції, а в разі потреби — пропозиції щодо шляхів вирішення виявлених проблемних питань.</w:t>
      </w:r>
    </w:p>
    <w:p>
      <w:pPr>
        <w:spacing w:before="240" w:beforeAutospacing="0" w:afterAutospacing="0"/>
        <w:jc w:val="center"/>
      </w:pPr>
      <w:r>
        <w:rPr>
          <w:rFonts w:ascii="Times New Roman" w:hAnsi="Times New Roman"/>
          <w:sz w:val="28"/>
          <w:szCs w:val="28"/>
        </w:rPr>
        <w:t>____________________</w:t>
      </w:r>
    </w:p>
    <w:sectPr>
      <w:headerReference xmlns:r="http://schemas.openxmlformats.org/officeDocument/2006/relationships" w:type="default" r:id="RelHdr1"/>
      <w:headerReference xmlns:r="http://schemas.openxmlformats.org/officeDocument/2006/relationships" w:type="even" r:id="RelHdr2"/>
      <w:footnotePr/>
      <w:endnotePr/>
      <w:type w:val="nextPage"/>
      <w:pgSz w:w="11909" w:h="16834" w:code="0"/>
      <w:pgMar w:left="1701" w:right="567" w:top="1134" w:bottom="1701" w:header="510" w:footer="720" w:gutter="0"/>
      <w:pgNumType w:start="1" w:chapSep="period"/>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beforeAutospacing="0" w:afterAutospacing="0"/>
      </w:pPr>
    </w:p>
  </w:endnote>
  <w:endnote w:type="continuationSeparator" w:id="0">
    <w:p>
      <w:pPr>
        <w:spacing w:lineRule="auto" w:line="24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beforeAutospacing="0" w:afterAutospacing="0"/>
      </w:pPr>
    </w:p>
  </w:footnote>
  <w:footnote w:type="continuationSeparator" w:id="0">
    <w:p>
      <w:pPr>
        <w:spacing w:lineRule="auto" w:line="24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513" w:leader="none"/>
        <w:tab w:val="right" w:pos="9026" w:leader="none"/>
      </w:tabs>
      <w:spacing w:lineRule="auto" w:line="240" w:beforeAutospacing="0" w:afterAutospacing="0"/>
      <w:jc w:val="center"/>
      <w:rPr>
        <w:rFonts w:ascii="Times New Roman" w:hAnsi="Times New Roman"/>
        <w:color w:val="000000"/>
        <w:sz w:val="28"/>
        <w:szCs w:val="28"/>
      </w:rPr>
    </w:pPr>
    <w:r>
      <w:rPr>
        <w:rFonts w:ascii="Times New Roman" w:hAnsi="Times New Roman"/>
        <w:color w:val="000000"/>
        <w:sz w:val="28"/>
        <w:szCs w:val="28"/>
      </w:rPr>
      <w:fldChar w:fldCharType="begin"/>
    </w:r>
    <w:r>
      <w:rPr>
        <w:rFonts w:ascii="Times New Roman" w:hAnsi="Times New Roman"/>
        <w:color w:val="000000"/>
        <w:sz w:val="28"/>
        <w:szCs w:val="28"/>
      </w:rPr>
      <w:instrText>PAGE</w:instrText>
    </w:r>
    <w:r>
      <w:rPr>
        <w:rFonts w:ascii="Times New Roman" w:hAnsi="Times New Roman"/>
        <w:color w:val="000000"/>
        <w:sz w:val="28"/>
        <w:szCs w:val="28"/>
      </w:rPr>
      <w:fldChar w:fldCharType="separate"/>
    </w:r>
    <w:r>
      <w:rPr>
        <w:rFonts w:ascii="Times New Roman" w:hAnsi="Times New Roman"/>
        <w:color w:val="000000"/>
        <w:sz w:val="28"/>
        <w:szCs w:val="28"/>
      </w:rPr>
      <w:t>#</w:t>
    </w:r>
    <w:r>
      <w:rPr>
        <w:rFonts w:ascii="Times New Roman" w:hAnsi="Times New Roman"/>
        <w:color w:val="000000"/>
        <w:sz w:val="28"/>
        <w:szCs w:val="28"/>
      </w:rPr>
      <w:fldChar w:fldCharType="end"/>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513" w:leader="none"/>
        <w:tab w:val="right" w:pos="9026" w:leader="none"/>
      </w:tabs>
      <w:spacing w:lineRule="auto" w:line="240" w:beforeAutospacing="0" w:afterAutospacing="0"/>
      <w:rPr>
        <w:rFonts w:ascii="Times New Roman" w:hAnsi="Times New Roman"/>
        <w:color w:val="000000"/>
        <w:sz w:val="28"/>
        <w:szCs w:val="28"/>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513" w:leader="none"/>
        <w:tab w:val="right" w:pos="9026" w:leader="none"/>
      </w:tabs>
      <w:spacing w:lineRule="auto" w:line="240" w:beforeAutospacing="0" w:afterAutospacing="0"/>
      <w:jc w:val="center"/>
      <w:rPr>
        <w:color w:val="000000"/>
      </w:rPr>
    </w:pPr>
    <w:r>
      <w:rPr>
        <w:color w:val="000000"/>
      </w:rPr>
      <w:fldChar w:fldCharType="begin"/>
    </w:r>
    <w:r>
      <w:rPr>
        <w:color w:val="000000"/>
      </w:rPr>
      <w:instrText>PAGE</w:instrText>
    </w:r>
    <w:r>
      <w:rPr>
        <w:color w:val="000000"/>
      </w:rPr>
      <w:fldChar w:fldCharType="separate"/>
    </w:r>
    <w:r>
      <w:rPr>
        <w:color w:val="000000"/>
      </w:rPr>
      <w:t>#</w:t>
    </w:r>
    <w:r>
      <w:rPr>
        <w:color w:val="000000"/>
      </w:rPr>
      <w:fldChar w:fldCharType="end"/>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513" w:leader="none"/>
        <w:tab w:val="right" w:pos="9026" w:leader="none"/>
      </w:tabs>
      <w:spacing w:lineRule="auto" w:line="240" w:beforeAutospacing="0" w:afterAutospacing="0"/>
      <w:rPr>
        <w:color w:val="000000"/>
      </w:rPr>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Arial" w:hAnsi="Arial"/>
        <w:sz w:val="22"/>
        <w:szCs w:val="22"/>
        <w:lang w:val="uk-UA" w:bidi="ar-SA" w:eastAsia="uk-UA"/>
      </w:rPr>
    </w:rPrDefault>
    <w:pPrDefault>
      <w:pPr>
        <w:keepNext w:val="0"/>
        <w:keepLines w:val="0"/>
        <w:pageBreakBefore w:val="0"/>
        <w:widowControl w:val="1"/>
        <w:suppressLineNumbers w:val="0"/>
        <w:shd w:val="clear" w:fill="auto"/>
        <w:suppressAutoHyphens w:val="0"/>
        <w:spacing w:lineRule="auto" w:line="276" w:before="0" w:after="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qFormat/>
    <w:pPr>
      <w:keepNext w:val="1"/>
      <w:keepLines w:val="1"/>
      <w:spacing w:before="400" w:after="120" w:beforeAutospacing="0" w:afterAutospacing="0"/>
      <w:outlineLvl w:val="0"/>
    </w:pPr>
    <w:rPr>
      <w:sz w:val="40"/>
      <w:szCs w:val="40"/>
    </w:rPr>
  </w:style>
  <w:style w:type="paragraph" w:styleId="P2">
    <w:name w:val="heading 2"/>
    <w:basedOn w:val="P0"/>
    <w:next w:val="P0"/>
    <w:semiHidden/>
    <w:qFormat/>
    <w:pPr>
      <w:keepNext w:val="1"/>
      <w:keepLines w:val="1"/>
      <w:spacing w:before="360" w:after="120" w:beforeAutospacing="0" w:afterAutospacing="0"/>
      <w:outlineLvl w:val="1"/>
    </w:pPr>
    <w:rPr>
      <w:sz w:val="32"/>
      <w:szCs w:val="32"/>
    </w:rPr>
  </w:style>
  <w:style w:type="paragraph" w:styleId="P3">
    <w:name w:val="heading 3"/>
    <w:basedOn w:val="P0"/>
    <w:next w:val="P0"/>
    <w:semiHidden/>
    <w:qFormat/>
    <w:pPr>
      <w:keepNext w:val="1"/>
      <w:keepLines w:val="1"/>
      <w:spacing w:before="320" w:after="80" w:beforeAutospacing="0" w:afterAutospacing="0"/>
      <w:outlineLvl w:val="2"/>
    </w:pPr>
    <w:rPr>
      <w:color w:val="434343"/>
      <w:sz w:val="28"/>
      <w:szCs w:val="28"/>
    </w:rPr>
  </w:style>
  <w:style w:type="paragraph" w:styleId="P4">
    <w:name w:val="heading 4"/>
    <w:basedOn w:val="P0"/>
    <w:next w:val="P0"/>
    <w:semiHidden/>
    <w:qFormat/>
    <w:pPr>
      <w:keepNext w:val="1"/>
      <w:keepLines w:val="1"/>
      <w:spacing w:before="280" w:after="80" w:beforeAutospacing="0" w:afterAutospacing="0"/>
      <w:outlineLvl w:val="3"/>
    </w:pPr>
    <w:rPr>
      <w:color w:val="666666"/>
      <w:sz w:val="24"/>
      <w:szCs w:val="24"/>
    </w:rPr>
  </w:style>
  <w:style w:type="paragraph" w:styleId="P5">
    <w:name w:val="heading 5"/>
    <w:basedOn w:val="P0"/>
    <w:next w:val="P0"/>
    <w:semiHidden/>
    <w:qFormat/>
    <w:pPr>
      <w:keepNext w:val="1"/>
      <w:keepLines w:val="1"/>
      <w:spacing w:before="240" w:after="80" w:beforeAutospacing="0" w:afterAutospacing="0"/>
      <w:outlineLvl w:val="4"/>
    </w:pPr>
    <w:rPr>
      <w:color w:val="666666"/>
    </w:rPr>
  </w:style>
  <w:style w:type="paragraph" w:styleId="P6">
    <w:name w:val="heading 6"/>
    <w:basedOn w:val="P0"/>
    <w:next w:val="P0"/>
    <w:semiHidden/>
    <w:qFormat/>
    <w:pPr>
      <w:keepNext w:val="1"/>
      <w:keepLines w:val="1"/>
      <w:spacing w:before="240" w:after="80" w:beforeAutospacing="0" w:afterAutospacing="0"/>
      <w:outlineLvl w:val="5"/>
    </w:pPr>
    <w:rPr>
      <w:i w:val="1"/>
      <w:color w:val="666666"/>
    </w:rPr>
  </w:style>
  <w:style w:type="paragraph" w:styleId="P7">
    <w:name w:val="Title"/>
    <w:basedOn w:val="P0"/>
    <w:next w:val="P0"/>
    <w:qFormat/>
    <w:pPr>
      <w:keepNext w:val="1"/>
      <w:keepLines w:val="1"/>
      <w:spacing w:after="60" w:beforeAutospacing="0" w:afterAutospacing="0"/>
    </w:pPr>
    <w:rPr>
      <w:sz w:val="52"/>
      <w:szCs w:val="52"/>
    </w:rPr>
  </w:style>
  <w:style w:type="paragraph" w:styleId="P8">
    <w:name w:val="Subtitle"/>
    <w:basedOn w:val="P0"/>
    <w:next w:val="P0"/>
    <w:qFormat/>
    <w:pPr>
      <w:keepNext w:val="1"/>
      <w:keepLines w:val="1"/>
      <w:spacing w:after="320" w:beforeAutospacing="0" w:afterAutospacing="0"/>
    </w:pPr>
    <w:rPr>
      <w:color w:val="666666"/>
      <w:sz w:val="30"/>
      <w:szCs w:val="30"/>
    </w:rPr>
  </w:style>
  <w:style w:type="paragraph" w:styleId="P9">
    <w:name w:val="annotation text"/>
    <w:basedOn w:val="P0"/>
    <w:link w:val="C3"/>
    <w:semiHidden/>
    <w:pPr>
      <w:spacing w:lineRule="auto" w:line="240" w:beforeAutospacing="0" w:afterAutospacing="0"/>
    </w:pPr>
    <w:rPr>
      <w:sz w:val="20"/>
      <w:szCs w:val="20"/>
    </w:rPr>
  </w:style>
  <w:style w:type="paragraph" w:styleId="P10">
    <w:name w:val="Balloon Text"/>
    <w:basedOn w:val="P0"/>
    <w:link w:val="C5"/>
    <w:semiHidden/>
    <w:pPr>
      <w:spacing w:lineRule="auto" w:line="240" w:beforeAutospacing="0" w:afterAutospacing="0"/>
    </w:pPr>
    <w:rPr>
      <w:rFonts w:ascii="Segoe UI" w:hAnsi="Segoe UI"/>
      <w:sz w:val="18"/>
      <w:szCs w:val="18"/>
    </w:rPr>
  </w:style>
  <w:style w:type="paragraph" w:styleId="P11">
    <w:name w:val="Установа"/>
    <w:basedOn w:val="P0"/>
    <w:pPr>
      <w:keepNext w:val="1"/>
      <w:keepLines w:val="1"/>
      <w:spacing w:lineRule="auto" w:line="240" w:before="120" w:beforeAutospacing="0" w:afterAutospacing="0"/>
      <w:jc w:val="center"/>
    </w:pPr>
    <w:rPr>
      <w:rFonts w:ascii="Antiqua" w:hAnsi="Antiqua"/>
      <w:b w:val="1"/>
      <w:sz w:val="40"/>
      <w:szCs w:val="20"/>
      <w:lang w:eastAsia="ru-RU"/>
    </w:rPr>
  </w:style>
  <w:style w:type="paragraph" w:styleId="P12">
    <w:name w:val="Вид документа"/>
    <w:basedOn w:val="P11"/>
    <w:next w:val="P0"/>
    <w:pPr>
      <w:spacing w:before="360" w:after="240" w:beforeAutospacing="0" w:afterAutospacing="0"/>
    </w:pPr>
    <w:rPr>
      <w:sz w:val="26"/>
      <w:spacing w:val="20"/>
    </w:rPr>
  </w:style>
  <w:style w:type="paragraph" w:styleId="P13">
    <w:name w:val="Час та місце"/>
    <w:basedOn w:val="P0"/>
    <w:pPr>
      <w:keepNext w:val="1"/>
      <w:keepLines w:val="1"/>
      <w:spacing w:lineRule="auto" w:line="240" w:before="120" w:after="240" w:beforeAutospacing="0" w:afterAutospacing="0"/>
      <w:jc w:val="center"/>
    </w:pPr>
    <w:rPr>
      <w:rFonts w:ascii="Antiqua" w:hAnsi="Antiqua"/>
      <w:sz w:val="26"/>
      <w:szCs w:val="20"/>
      <w:lang w:eastAsia="ru-RU"/>
    </w:rPr>
  </w:style>
  <w:style w:type="paragraph" w:styleId="P14">
    <w:name w:val="Назва документа"/>
    <w:basedOn w:val="P0"/>
    <w:next w:val="P0"/>
    <w:pPr>
      <w:keepNext w:val="1"/>
      <w:keepLines w:val="1"/>
      <w:spacing w:lineRule="auto" w:line="240" w:before="240" w:after="240" w:beforeAutospacing="0" w:afterAutospacing="0"/>
      <w:jc w:val="center"/>
    </w:pPr>
    <w:rPr>
      <w:rFonts w:ascii="Antiqua" w:hAnsi="Antiqua"/>
      <w:b w:val="1"/>
      <w:sz w:val="26"/>
      <w:szCs w:val="20"/>
      <w:lang w:eastAsia="ru-RU"/>
    </w:rPr>
  </w:style>
  <w:style w:type="paragraph" w:styleId="P15">
    <w:name w:val="List Paragraph"/>
    <w:basedOn w:val="P0"/>
    <w:qFormat/>
    <w:pPr>
      <w:ind w:left="720"/>
      <w:contextualSpacing w:val="1"/>
    </w:pPr>
    <w:rPr/>
  </w:style>
  <w:style w:type="paragraph" w:styleId="P16">
    <w:name w:val="Підпис1"/>
    <w:basedOn w:val="P0"/>
    <w:pPr>
      <w:keepLines w:val="1"/>
      <w:tabs>
        <w:tab w:val="center" w:pos="2268" w:leader="none"/>
        <w:tab w:val="left" w:pos="6804" w:leader="none"/>
      </w:tabs>
      <w:spacing w:lineRule="auto" w:line="240" w:before="360" w:beforeAutospacing="0" w:afterAutospacing="0"/>
    </w:pPr>
    <w:rPr>
      <w:rFonts w:ascii="Antiqua" w:hAnsi="Antiqua"/>
      <w:b w:val="1"/>
      <w:sz w:val="26"/>
      <w:szCs w:val="20"/>
      <w:position w:val="-48"/>
      <w:lang w:eastAsia="ru-RU"/>
    </w:rPr>
  </w:style>
  <w:style w:type="paragraph" w:styleId="P17">
    <w:name w:val="header"/>
    <w:basedOn w:val="P0"/>
    <w:link w:val="C6"/>
    <w:pPr>
      <w:tabs>
        <w:tab w:val="center" w:pos="4513" w:leader="none"/>
        <w:tab w:val="right" w:pos="9026" w:leader="none"/>
      </w:tabs>
      <w:spacing w:lineRule="auto" w:line="240" w:beforeAutospacing="0" w:afterAutospacing="0"/>
    </w:pPr>
    <w:rPr/>
  </w:style>
  <w:style w:type="paragraph" w:styleId="P18">
    <w:name w:val="footer"/>
    <w:basedOn w:val="P0"/>
    <w:link w:val="C7"/>
    <w:pPr>
      <w:tabs>
        <w:tab w:val="center" w:pos="4513" w:leader="none"/>
        <w:tab w:val="right" w:pos="9026" w:leader="none"/>
      </w:tabs>
      <w:spacing w:lineRule="auto" w:line="240" w:beforeAutospacing="0" w:afterAutospacing="0"/>
    </w:pPr>
    <w:rPr/>
  </w:style>
  <w:style w:type="paragraph" w:styleId="P19">
    <w:name w:val="Shapka Documentu"/>
    <w:basedOn w:val="P0"/>
    <w:pPr>
      <w:keepNext w:val="1"/>
      <w:keepLines w:val="1"/>
      <w:spacing w:lineRule="auto" w:line="240" w:after="240" w:beforeAutospacing="0" w:afterAutospacing="0"/>
      <w:ind w:left="3969"/>
      <w:jc w:val="center"/>
    </w:pPr>
    <w:rPr>
      <w:rFonts w:ascii="Antiqua" w:hAnsi="Antiqua"/>
      <w:sz w:val="26"/>
      <w:szCs w:val="20"/>
      <w:lang w:eastAsia="ru-RU"/>
    </w:rPr>
  </w:style>
  <w:style w:type="paragraph" w:styleId="P20">
    <w:name w:val="Нормальний текст"/>
    <w:basedOn w:val="P0"/>
    <w:pPr>
      <w:spacing w:lineRule="auto" w:line="240" w:before="120" w:beforeAutospacing="0" w:afterAutospacing="0"/>
      <w:ind w:firstLine="567"/>
    </w:pPr>
    <w:rPr>
      <w:rFonts w:ascii="Antiqua" w:hAnsi="Antiqua"/>
      <w:sz w:val="26"/>
      <w:szCs w:val="20"/>
      <w:lang w:eastAsia="ru-RU"/>
    </w:rPr>
  </w:style>
  <w:style w:type="paragraph" w:styleId="P21">
    <w:name w:val="footnote text"/>
    <w:link w:val="C11"/>
    <w:semiHidden/>
    <w:pPr>
      <w:spacing w:lineRule="auto" w:line="240" w:after="0"/>
    </w:pPr>
    <w:rPr>
      <w:sz w:val="20"/>
      <w:szCs w:val="20"/>
    </w:rPr>
  </w:style>
  <w:style w:type="paragraph" w:styleId="P22">
    <w:name w:val="endnote text"/>
    <w:link w:val="C13"/>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themeColor="hyperlink"/>
      <w:u w:val="single"/>
    </w:rPr>
  </w:style>
  <w:style w:type="character" w:styleId="C3">
    <w:name w:val="Текст примітки Знак"/>
    <w:basedOn w:val="C0"/>
    <w:link w:val="P9"/>
    <w:semiHidden/>
    <w:rPr>
      <w:sz w:val="20"/>
      <w:szCs w:val="20"/>
    </w:rPr>
  </w:style>
  <w:style w:type="character" w:styleId="C4">
    <w:name w:val="annotation reference"/>
    <w:basedOn w:val="C0"/>
    <w:semiHidden/>
    <w:rPr>
      <w:sz w:val="16"/>
      <w:szCs w:val="16"/>
    </w:rPr>
  </w:style>
  <w:style w:type="character" w:styleId="C5">
    <w:name w:val="Текст у виносці Знак"/>
    <w:basedOn w:val="C0"/>
    <w:link w:val="P10"/>
    <w:semiHidden/>
    <w:rPr>
      <w:rFonts w:ascii="Segoe UI" w:hAnsi="Segoe UI"/>
      <w:sz w:val="18"/>
      <w:szCs w:val="18"/>
    </w:rPr>
  </w:style>
  <w:style w:type="character" w:styleId="C6">
    <w:name w:val="Верхній колонтитул Знак"/>
    <w:basedOn w:val="C0"/>
    <w:link w:val="P17"/>
    <w:rPr/>
  </w:style>
  <w:style w:type="character" w:styleId="C7">
    <w:name w:val="Нижній колонтитул Знак"/>
    <w:basedOn w:val="C0"/>
    <w:link w:val="P18"/>
    <w:rPr/>
  </w:style>
  <w:style w:type="character" w:styleId="C8">
    <w:name w:val="page number"/>
    <w:basedOn w:val="C0"/>
    <w:semiHidden/>
    <w:rPr/>
  </w:style>
  <w:style w:type="character" w:styleId="C9">
    <w:name w:val="Unresolved Mention"/>
    <w:basedOn w:val="C0"/>
    <w:semiHidden/>
    <w:rPr>
      <w:color w:val="605E5C"/>
      <w:shd w:val="clear" w:color="auto" w:fill="E1DFDD"/>
    </w:rPr>
  </w:style>
  <w:style w:type="character" w:styleId="C10">
    <w:name w:val="footnote reference"/>
    <w:semiHidden/>
    <w:rPr>
      <w:vertAlign w:val="superscript"/>
    </w:rPr>
  </w:style>
  <w:style w:type="character" w:styleId="C11">
    <w:name w:val="Footnote Text Char"/>
    <w:link w:val="P21"/>
    <w:semiHidden/>
    <w:rPr>
      <w:sz w:val="20"/>
      <w:szCs w:val="20"/>
    </w:rPr>
  </w:style>
  <w:style w:type="character" w:styleId="C12">
    <w:name w:val="endnote reference"/>
    <w:semiHidden/>
    <w:rPr>
      <w:vertAlign w:val="superscript"/>
    </w:rPr>
  </w:style>
  <w:style w:type="character" w:styleId="C13">
    <w:name w:val="Endnote Text Char"/>
    <w:link w:val="P22"/>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CellMar>
        <w:top w:w="0" w:type="dxa"/>
        <w:left w:w="0" w:type="dxa"/>
        <w:bottom w:w="0" w:type="dxa"/>
        <w:right w:w="0"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_rels/header2.xml.rels>&#65279;<?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x1rXO99GuROD8UBWvGHH9ML03A==">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</go:docsCustomData>
</go:gDocsCustomXmlDataStorage>
</file>

<file path=customXml/itemProps1.xml><?xml version="1.0" encoding="utf-8"?>
<ds:datastoreItem xmlns:ds="http://schemas.openxmlformats.org/officeDocument/2006/customXml" ds:itemID="{11111111-1234-1234-1234-123412341234}">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Пилипенко Роман Віталійович</dc:creator>
  <dcterms:created xsi:type="dcterms:W3CDTF">2025-01-07T09:48:00Z</dcterms:created>
  <cp:lastModifiedBy>pool-iis</cp:lastModifiedBy>
  <dcterms:modified xsi:type="dcterms:W3CDTF">2025-01-09T14:03:14Z</dcterms:modified>
  <cp:revision>8</cp:revision>
</cp:coreProperties>
</file>