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b w:val="1"/>
          <w:sz w:val="26"/>
          <w:szCs w:val="26"/>
        </w:rPr>
      </w:pPr>
      <w:r>
        <w:rPr>
          <w:rFonts w:ascii="Times New Roman" w:hAnsi="Times New Roman"/>
          <w:b w:val="1"/>
          <w:sz w:val="26"/>
          <w:szCs w:val="26"/>
        </w:rPr>
        <w:t>ПОЯСНЮВАЛЬНА ЗАПИСКА</w:t>
      </w:r>
    </w:p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b w:val="1"/>
          <w:sz w:val="26"/>
          <w:szCs w:val="26"/>
        </w:rPr>
        <w:t>до проекту</w:t>
      </w:r>
      <w:r>
        <w:rPr>
          <w:rFonts w:ascii="Times New Roman" w:hAnsi="Times New Roman"/>
          <w:b w:val="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bCs w:val="1"/>
          <w:sz w:val="26"/>
          <w:szCs w:val="26"/>
        </w:rPr>
        <w:t xml:space="preserve">наказу </w:t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</w:rPr>
        <w:t xml:space="preserve">Міністерства у справах ветеранів України </w:t>
      </w:r>
    </w:p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b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6"/>
          <w:szCs w:val="26"/>
        </w:rPr>
        <w:t>“</w:t>
      </w:r>
      <w:bookmarkStart w:id="0" w:name="_Hlk6221936"/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</w:rPr>
        <w:t>Про затвердження Положення про міжвідомчу комісію з питань визначення учасників експериментального проекту щодо надання послуг з довготривалого медичного догляду окремим категоріям осіб, які захищали незалежність, суверенітет та територіальну цілісність України”</w:t>
      </w:r>
      <w:bookmarkEnd w:id="0"/>
    </w:p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sz w:val="26"/>
          <w:szCs w:val="26"/>
          <w:lang w:eastAsia="ar-SA"/>
        </w:rPr>
      </w:pPr>
    </w:p>
    <w:p>
      <w:pPr>
        <w:widowControl w:val="0"/>
        <w:tabs>
          <w:tab w:val="left" w:pos="708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6"/>
          <w:szCs w:val="26"/>
          <w:lang w:eastAsia="ar-SA"/>
        </w:rPr>
      </w:pPr>
      <w:r>
        <w:rPr>
          <w:rFonts w:ascii="Times New Roman" w:hAnsi="Times New Roman"/>
          <w:b w:val="1"/>
          <w:sz w:val="26"/>
          <w:szCs w:val="26"/>
          <w:lang w:eastAsia="ar-SA"/>
        </w:rPr>
        <w:t>1. Мета</w:t>
      </w:r>
    </w:p>
    <w:p>
      <w:pPr>
        <w:widowControl w:val="0"/>
        <w:tabs>
          <w:tab w:val="left" w:pos="708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Проект акта розроблено з метою </w:t>
      </w:r>
      <w:r>
        <w:rPr>
          <w:rFonts w:ascii="Times New Roman" w:hAnsi="Times New Roman"/>
          <w:sz w:val="26"/>
          <w:szCs w:val="26"/>
        </w:rPr>
        <w:t>врегулювання діяльності міжвідомчої комісії для визначення учасників експериментального проекту, яких передбачається включити до клінічних маршрутів пацієнта для отримання послуг з довготривалого медичного догляду окремим категоріям осіб, які захищали незалежність, суверенітет та територіальну цілісність України (далі – міжвідомча комісія) та визначення критеріїв, за якими приймається рішення щодо укладення договору за кожним надавачем медичних послуг з урахуванням його спроможності, наявності циклів догляду, оплата за які може бути здійснена за рахунок бюджетних коштів.</w:t>
      </w:r>
    </w:p>
    <w:p>
      <w:pPr>
        <w:widowControl w:val="0"/>
        <w:tabs>
          <w:tab w:val="left" w:pos="708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6"/>
          <w:szCs w:val="26"/>
          <w:lang w:eastAsia="ar-SA"/>
        </w:rPr>
      </w:pPr>
    </w:p>
    <w:p>
      <w:pPr>
        <w:widowControl w:val="0"/>
        <w:tabs>
          <w:tab w:val="left" w:pos="708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6"/>
          <w:szCs w:val="26"/>
          <w:lang w:eastAsia="ar-SA"/>
        </w:rPr>
      </w:pPr>
      <w:r>
        <w:rPr>
          <w:rFonts w:ascii="Times New Roman" w:hAnsi="Times New Roman"/>
          <w:b w:val="1"/>
          <w:sz w:val="26"/>
          <w:szCs w:val="26"/>
          <w:lang w:eastAsia="ar-SA"/>
        </w:rPr>
        <w:t>2. Обґрунтування необхідності прийняття акта</w:t>
      </w:r>
    </w:p>
    <w:p>
      <w:pPr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Проект акта розроблено в</w:t>
      </w:r>
      <w:r>
        <w:rPr>
          <w:rFonts w:ascii="Times New Roman" w:hAnsi="Times New Roman"/>
          <w:sz w:val="26"/>
          <w:szCs w:val="26"/>
        </w:rPr>
        <w:t>ідповідно до абзацу четвертого пункту 10 та підпункту 3 пункту 14 Порядку реалізації експериментального проекту щодо надання послуг з довготривалого медичного догляду окремим категоріям осіб, які захищали незалежність, суверенітет та територіальну цілісність України, затвердженого постановою Кабінету Міністрів України від 23 жовтня 2025 року № 1365.</w:t>
      </w:r>
    </w:p>
    <w:p>
      <w:pPr>
        <w:widowControl w:val="0"/>
        <w:tabs>
          <w:tab w:val="left" w:pos="708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bCs w:val="1"/>
          <w:sz w:val="26"/>
          <w:szCs w:val="26"/>
          <w:lang w:eastAsia="ar-SA"/>
        </w:rPr>
      </w:pPr>
    </w:p>
    <w:p>
      <w:pPr>
        <w:widowControl w:val="0"/>
        <w:tabs>
          <w:tab w:val="left" w:pos="708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bCs w:val="1"/>
          <w:sz w:val="26"/>
          <w:szCs w:val="26"/>
          <w:lang w:eastAsia="ar-SA"/>
        </w:rPr>
      </w:pPr>
      <w:r>
        <w:rPr>
          <w:rFonts w:ascii="Times New Roman" w:hAnsi="Times New Roman"/>
          <w:b w:val="1"/>
          <w:bCs w:val="1"/>
          <w:sz w:val="26"/>
          <w:szCs w:val="26"/>
          <w:lang w:eastAsia="ar-SA"/>
        </w:rPr>
        <w:t>3. Основні положення проєкту акта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Проектом акта пропонується затвердити Положення про міжвідомчу комісію з питань визначення учасників експериментального проекту щодо надання послуг з довготривалого медичного догляду окремим категоріям осіб, які захищали незалежність, суверенітет та територіальну цілісність України, яке визначає організацію роботи, основні функції та завдання міжвідомчої комісії, а також критерії, за якими приймається рішення щодо укладення договору за кожним надавачем медичних послуг з урахуванням його спроможності, наявності циклів довготривалого медичного догляду, оплата за які може бути здійснена за рахунок бюджетних коштів.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bCs w:val="1"/>
          <w:sz w:val="26"/>
          <w:szCs w:val="26"/>
          <w:lang w:eastAsia="ar-SA"/>
        </w:rPr>
      </w:pP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bCs w:val="1"/>
          <w:sz w:val="26"/>
          <w:szCs w:val="26"/>
          <w:lang w:eastAsia="ar-SA"/>
        </w:rPr>
      </w:pPr>
      <w:r>
        <w:rPr>
          <w:rFonts w:ascii="Times New Roman" w:hAnsi="Times New Roman"/>
          <w:b w:val="1"/>
          <w:bCs w:val="1"/>
          <w:sz w:val="26"/>
          <w:szCs w:val="26"/>
          <w:lang w:eastAsia="ar-SA"/>
        </w:rPr>
        <w:t>4. Правові аспекти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Cs w:val="1"/>
          <w:sz w:val="26"/>
          <w:szCs w:val="26"/>
          <w:lang w:eastAsia="ar-SA"/>
        </w:rPr>
      </w:pPr>
      <w:r>
        <w:rPr>
          <w:rFonts w:ascii="Times New Roman" w:hAnsi="Times New Roman"/>
          <w:bCs w:val="1"/>
          <w:sz w:val="26"/>
          <w:szCs w:val="26"/>
          <w:lang w:eastAsia="ar-SA"/>
        </w:rPr>
        <w:t>У відповідній сфері суспільних відносин діють: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spacing w:val="-2"/>
        </w:rPr>
      </w:pPr>
      <w:r>
        <w:rPr>
          <w:rFonts w:ascii="Times New Roman" w:hAnsi="Times New Roman"/>
          <w:sz w:val="26"/>
          <w:szCs w:val="26"/>
          <w:spacing w:val="-2"/>
          <w:lang w:eastAsia="ar-SA"/>
        </w:rPr>
        <w:t>Закон України “Про</w:t>
      </w:r>
      <w:r>
        <w:rPr>
          <w:rFonts w:ascii="Times New Roman" w:hAnsi="Times New Roman"/>
          <w:sz w:val="26"/>
          <w:szCs w:val="26"/>
          <w:spacing w:val="-2"/>
        </w:rPr>
        <w:t xml:space="preserve"> статус ветеранів війни, гарантії їх соціального захисту”;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spacing w:val="-2"/>
          <w:lang w:eastAsia="ru-RU"/>
        </w:rPr>
      </w:pPr>
      <w:r>
        <w:rPr>
          <w:rFonts w:ascii="Times New Roman" w:hAnsi="Times New Roman"/>
          <w:sz w:val="26"/>
          <w:szCs w:val="26"/>
          <w:spacing w:val="-2"/>
          <w:lang w:eastAsia="ru-RU"/>
        </w:rPr>
        <w:t xml:space="preserve">постанова Кабінету Міністрів України </w:t>
      </w:r>
      <w:r>
        <w:rPr>
          <w:rFonts w:ascii="Times New Roman" w:hAnsi="Times New Roman"/>
          <w:sz w:val="26"/>
          <w:szCs w:val="26"/>
        </w:rPr>
        <w:t xml:space="preserve">від 23 жовтня 2025 року № 1365 </w:t>
      </w:r>
      <w:r>
        <w:rPr>
          <w:rFonts w:ascii="Times New Roman" w:hAnsi="Times New Roman"/>
          <w:sz w:val="26"/>
          <w:szCs w:val="26"/>
          <w:spacing w:val="-2"/>
          <w:lang w:eastAsia="ru-RU"/>
        </w:rPr>
        <w:t>“Деякі питання реалізації експериментального проекту щодо надання послуг з довготривалого медичного догляду окремим категоріям осіб, які захищали незалежність, суверенітет та територіальну цілісність України”.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spacing w:val="-2"/>
          <w:lang w:eastAsia="ru-RU"/>
        </w:rPr>
      </w:pP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bCs w:val="1"/>
          <w:sz w:val="26"/>
          <w:szCs w:val="26"/>
          <w:lang w:eastAsia="ar-SA"/>
        </w:rPr>
      </w:pPr>
      <w:r>
        <w:rPr>
          <w:rFonts w:ascii="Times New Roman" w:hAnsi="Times New Roman"/>
          <w:b w:val="1"/>
          <w:bCs w:val="1"/>
          <w:sz w:val="26"/>
          <w:szCs w:val="26"/>
          <w:lang w:eastAsia="ar-SA"/>
        </w:rPr>
        <w:t>5. Фінансово-економічне обґрунтування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Реалізація акта не потребуватиме додаткових витрат з Державного бюджету України, оскільки регламентує порядок роботи міжвідомчої комісії, де члени Міжвідомчої комісії виконують свої обов’язки в межах своєї основної службової діяльності (за рахунок заробітної плати, передбаченої за основним місцем роботи в органах державної влади).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bCs w:val="1"/>
          <w:sz w:val="26"/>
          <w:szCs w:val="26"/>
          <w:lang w:eastAsia="ar-SA"/>
        </w:rPr>
      </w:pP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b w:val="1"/>
          <w:bCs w:val="1"/>
          <w:sz w:val="26"/>
          <w:szCs w:val="26"/>
          <w:lang w:eastAsia="ar-SA"/>
        </w:rPr>
        <w:t>6. Позиція заінтересованих сторін</w:t>
      </w:r>
    </w:p>
    <w:p>
      <w:pPr>
        <w:widowControl w:val="0"/>
        <w:tabs>
          <w:tab w:val="left" w:pos="708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Проєкт акта підлягає державній реєстрації в Міністерстві юстиції України.</w:t>
      </w:r>
    </w:p>
    <w:p>
      <w:pPr>
        <w:widowControl w:val="0"/>
        <w:tabs>
          <w:tab w:val="left" w:pos="708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Проєкт акта потребує погодження з Міністерством охорони здоров’я України та Національною службою здоров’я України.</w:t>
      </w:r>
    </w:p>
    <w:p>
      <w:pPr>
        <w:widowControl w:val="0"/>
        <w:tabs>
          <w:tab w:val="left" w:pos="708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Публічні консультації з громадськістю будуть проведені на офіційному вебсайті Міністерства у справах ветеранів України.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Проект акта не стосується наукової та науково-технічної діяльності. 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 w:val="1"/>
          <w:sz w:val="26"/>
          <w:szCs w:val="26"/>
          <w:lang w:eastAsia="ar-SA"/>
        </w:rPr>
        <w:t>7. Оцінка відповідності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У проекті акта відсутні положення,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дискримінації.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Громадська антикорупційна, громадська антидискримінаційна та громадська гендерно-правова експертизи не проводились.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Проект акта не потребує проведення цифрової експертизи, оскільки його реалізація не передбачає впровадження нових інформаційно-комунікаційних технологій, створення нових електронних реєстрів чи внесення змін до наявних.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sz w:val="26"/>
          <w:szCs w:val="26"/>
          <w:lang w:eastAsia="ar-SA"/>
        </w:rPr>
      </w:pP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 w:val="1"/>
          <w:sz w:val="26"/>
          <w:szCs w:val="26"/>
          <w:lang w:eastAsia="ar-SA"/>
        </w:rPr>
        <w:t>8. Прогноз результатів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6"/>
          <w:szCs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sz w:val="26"/>
          <w:szCs w:val="26"/>
          <w:lang w:eastAsia="ar-SA"/>
        </w:rPr>
        <w:t>Прийняття проекту акта надасть можливіст</w:t>
      </w:r>
      <w:r>
        <w:rPr>
          <w:rFonts w:ascii="Times New Roman" w:hAnsi="Times New Roman"/>
          <w:smallCaps w:val="0"/>
          <w:sz w:val="26"/>
          <w:szCs w:val="22"/>
          <w:cs w:val="0"/>
          <w:spacing w:val="0"/>
          <w:w w:val="100"/>
          <w:position w:val="0"/>
          <w:snapToGrid w:val="1"/>
          <w:lang w:eastAsia="ar-SA"/>
        </w:rPr>
        <w:t xml:space="preserve">ь </w:t>
      </w:r>
      <w:r>
        <w:rPr>
          <w:rFonts w:ascii="Times New Roman" w:hAnsi="Times New Roman"/>
          <w:sz w:val="26"/>
          <w:szCs w:val="26"/>
          <w:lang w:eastAsia="ru-RU"/>
        </w:rPr>
        <w:t>створити</w:t>
      </w:r>
      <w:r>
        <w:rPr>
          <w:rFonts w:ascii="Times New Roman" w:hAnsi="Times New Roman"/>
          <w:smallCaps w:val="0"/>
          <w:sz w:val="26"/>
          <w:szCs w:val="22"/>
          <w:cs w:val="0"/>
          <w:spacing w:val="0"/>
          <w:w w:val="100"/>
          <w:position w:val="0"/>
          <w:snapToGrid w:val="1"/>
          <w:lang w:eastAsia="ru-RU"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6"/>
          <w:szCs w:val="26"/>
          <w:u w:val="none"/>
          <w:shd w:val="clear" w:color="auto" w:fill="auto"/>
          <w:vertAlign w:val="baseline"/>
          <w:lang/>
        </w:rPr>
        <w:t xml:space="preserve">міжвідомчу комісію, визначити її основні функції та завдання, організувати роботу з метою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6"/>
          <w:szCs w:val="22"/>
          <w:u w:val="none"/>
          <w:shd w:val="clear" w:color="auto" w:fill="auto"/>
          <w:vertAlign w:val="baseline"/>
          <w:cs w:val="0"/>
          <w:lang/>
        </w:rPr>
        <w:t>забезпечення реалізації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6"/>
          <w:szCs w:val="22"/>
          <w:u w:val="none"/>
          <w:shd w:val="clear" w:color="auto" w:fill="auto"/>
          <w:vertAlign w:val="baseline"/>
          <w:cs w:val="0"/>
          <w:lang/>
        </w:rPr>
        <w:t xml:space="preserve"> експерементального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6"/>
          <w:szCs w:val="22"/>
          <w:u w:val="none"/>
          <w:shd w:val="clear" w:color="auto" w:fill="auto"/>
          <w:vertAlign w:val="baseline"/>
          <w:cs w:val="0"/>
          <w:lang/>
        </w:rPr>
        <w:t>п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6"/>
          <w:szCs w:val="22"/>
          <w:u w:val="none"/>
          <w:shd w:val="clear" w:color="auto" w:fill="auto"/>
          <w:vertAlign w:val="baseline"/>
          <w:cs w:val="0"/>
          <w:lang/>
        </w:rPr>
        <w:t xml:space="preserve">роекту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6"/>
          <w:szCs w:val="22"/>
          <w:u w:val="none"/>
          <w:shd w:val="clear" w:color="auto" w:fill="auto"/>
          <w:vertAlign w:val="baseline"/>
          <w:cs w:val="0"/>
          <w:lang/>
        </w:rPr>
        <w:t xml:space="preserve">щодо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6"/>
          <w:szCs w:val="26"/>
          <w:u w:val="none"/>
          <w:shd w:val="clear" w:color="auto" w:fill="auto"/>
          <w:vertAlign w:val="baseline"/>
          <w:lang/>
        </w:rPr>
        <w:t>надання послуг з довготривалого медичного догляду окремим категоріям осіб, які захищали незалежність, суверенітет та територіальну цілісність України.</w:t>
      </w:r>
    </w:p>
    <w:p>
      <w:pPr>
        <w:widowControl w:val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1"/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lang w:eastAsia="ar-SA"/>
        </w:rPr>
        <w:t>Реалізація акта не матиме впливу на ринкове середовище, розвиток регіонів, підвищення чи зниження спроможності територіальних громад, ринок праці, рівень зайнятості населення, екологію та навколишнє природне середовище, інші суспільні відносини.</w:t>
      </w:r>
    </w:p>
    <w:p>
      <w:pPr>
        <w:widowControl w:val="0"/>
        <w:tabs>
          <w:tab w:val="left" w:pos="708" w:leader="none"/>
        </w:tabs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6"/>
          <w:szCs w:val="26"/>
          <w:lang w:eastAsia="ar-SA"/>
        </w:rPr>
      </w:pPr>
    </w:p>
    <w:p>
      <w:pPr>
        <w:widowControl w:val="0"/>
        <w:tabs>
          <w:tab w:val="left" w:pos="708" w:leader="none"/>
        </w:tabs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6"/>
          <w:szCs w:val="26"/>
          <w:lang w:eastAsia="ar-SA"/>
        </w:rPr>
      </w:pPr>
    </w:p>
    <w:p>
      <w:pPr>
        <w:widowControl w:val="0"/>
        <w:tabs>
          <w:tab w:val="left" w:pos="708" w:leader="none"/>
        </w:tabs>
        <w:suppressAutoHyphens w:val="1"/>
        <w:spacing w:lineRule="auto" w:line="240" w:before="120" w:after="0" w:beforeAutospacing="0" w:afterAutospacing="0"/>
        <w:jc w:val="both"/>
        <w:rPr>
          <w:rFonts w:ascii="Times New Roman" w:hAnsi="Times New Roman"/>
          <w:sz w:val="26"/>
          <w:lang w:eastAsia="ar-SA"/>
        </w:rPr>
      </w:pPr>
      <w:r>
        <w:rPr>
          <w:rFonts w:ascii="Times New Roman" w:hAnsi="Times New Roman"/>
          <w:sz w:val="26"/>
          <w:lang w:eastAsia="ar-SA"/>
        </w:rPr>
        <w:t xml:space="preserve">Міністр у справах ветеранів України </w:t>
        <w:tab/>
        <w:tab/>
        <w:tab/>
        <w:tab/>
        <w:t xml:space="preserve">          Наталія КАЛМИКОВА</w:t>
      </w:r>
    </w:p>
    <w:p>
      <w:pPr>
        <w:widowControl w:val="0"/>
        <w:tabs>
          <w:tab w:val="left" w:pos="708" w:leader="none"/>
        </w:tabs>
        <w:suppressAutoHyphens w:val="1"/>
        <w:spacing w:lineRule="auto" w:line="240" w:before="120" w:after="0" w:beforeAutospacing="0" w:afterAutospacing="0"/>
        <w:jc w:val="both"/>
        <w:rPr>
          <w:rFonts w:ascii="Times New Roman" w:hAnsi="Times New Roman"/>
          <w:bCs w:val="1"/>
          <w:sz w:val="26"/>
          <w:szCs w:val="26"/>
        </w:rPr>
      </w:pPr>
      <w:r>
        <w:rPr>
          <w:rFonts w:ascii="Times New Roman" w:hAnsi="Times New Roman"/>
          <w:bCs w:val="1"/>
          <w:sz w:val="26"/>
          <w:szCs w:val="26"/>
        </w:rPr>
        <w:t>____ __________ 2025 р.</w:t>
      </w:r>
    </w:p>
    <w:sectPr>
      <w:headerReference w:type="default" r:id="RelHdr1"/>
      <w:footnotePr/>
      <w:endnotePr/>
      <w:type w:val="nextPage"/>
      <w:pgSz w:w="11906" w:h="16838" w:code="0"/>
      <w:pgMar w:left="1701" w:right="567" w:top="1134" w:bottom="1361" w:header="510" w:footer="709" w:gutter="0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 w:val="1"/>
        <w:sz w:val="24"/>
        <w:szCs w:val="24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P1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66792"/>
    <w:docVar w:name="ID" w:val="2560604"/>
    <w:docVar w:name="PRINTPOS" w:val="4"/>
    <w:docVar w:name="PTYPE" w:val="1"/>
    <w:docVar w:name="TYPE" w:val="APPLICATION"/>
  </w:docVars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56" w:after="160" w:beforeAutospacing="0" w:afterAutospacing="0"/>
    </w:pPr>
    <w:rPr>
      <w:sz w:val="22"/>
      <w:lang w:val="uk-UA"/>
    </w:rPr>
  </w:style>
  <w:style w:type="paragraph" w:styleId="P1">
    <w:name w:val="Header"/>
    <w:basedOn w:val="P0"/>
    <w:link w:val="C3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3">
    <w:name w:val="Body text (2)"/>
    <w:basedOn w:val="P0"/>
    <w:link w:val="C5"/>
    <w:pPr>
      <w:widowControl w:val="0"/>
      <w:shd w:val="clear" w:fill="FFFFFF"/>
      <w:spacing w:lineRule="atLeast" w:line="240" w:before="240" w:after="420" w:beforeAutospacing="0" w:afterAutospacing="0"/>
      <w:ind w:firstLine="460"/>
      <w:jc w:val="both"/>
    </w:pPr>
    <w:rPr>
      <w:sz w:val="28"/>
      <w:szCs w:val="28"/>
    </w:rPr>
  </w:style>
  <w:style w:type="paragraph" w:styleId="P4">
    <w:name w:val="Char Знак Знак Char Знак Знак Знак Знак Знак Знак Знак Знак Знак Знак Знак Знак Знак Знак Знак Знак Знак Знак Знак Знак Знак Знак"/>
    <w:basedOn w:val="P0"/>
    <w:pPr>
      <w:spacing w:lineRule="auto" w:line="240" w:after="0" w:beforeAutospacing="0" w:afterAutospacing="0"/>
    </w:pPr>
    <w:rPr>
      <w:rFonts w:ascii="Verdana" w:hAnsi="Verdana"/>
      <w:sz w:val="20"/>
      <w:szCs w:val="20"/>
      <w:lang w:val="en-US"/>
    </w:rPr>
  </w:style>
  <w:style w:type="paragraph" w:styleId="P5">
    <w:name w:val="Balloon Text"/>
    <w:basedOn w:val="P0"/>
    <w:link w:val="C7"/>
    <w:semiHidden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paragraph" w:styleId="P6">
    <w:name w:val="List Paragraph"/>
    <w:basedOn w:val="P0"/>
    <w:qFormat/>
    <w:pPr>
      <w:ind w:left="720"/>
      <w:contextualSpacing w:val="1"/>
    </w:pPr>
    <w:rPr/>
  </w:style>
  <w:style w:type="paragraph" w:styleId="P7">
    <w:name w:val="HTML Preformatted"/>
    <w:basedOn w:val="P0"/>
    <w:link w:val="C9"/>
    <w:pPr>
      <w:spacing w:lineRule="auto" w:line="240" w:after="0" w:beforeAutospacing="0" w:afterAutospacing="0"/>
    </w:pPr>
    <w:rPr>
      <w:rFonts w:ascii="Consolas" w:hAnsi="Consolas"/>
      <w:sz w:val="20"/>
      <w:szCs w:val="20"/>
    </w:rPr>
  </w:style>
  <w:style w:type="paragraph" w:styleId="P8">
    <w:name w:val="Footnote Text"/>
    <w:link w:val="C11"/>
    <w:semiHidden/>
    <w:pPr/>
    <w:rPr>
      <w:szCs w:val="20"/>
    </w:rPr>
  </w:style>
  <w:style w:type="paragraph" w:styleId="P9">
    <w:name w:val="Endnote Text"/>
    <w:link w:val="C13"/>
    <w:semiHidden/>
    <w:pPr/>
    <w:rPr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semiHidden/>
    <w:rPr>
      <w:color w:val="0000FF"/>
      <w:u w:val="single"/>
    </w:rPr>
  </w:style>
  <w:style w:type="character" w:styleId="C3">
    <w:name w:val="Верхній колонтитул Знак"/>
    <w:link w:val="P1"/>
    <w:rPr>
      <w:rFonts w:ascii="Calibri" w:hAnsi="Calibri"/>
    </w:rPr>
  </w:style>
  <w:style w:type="character" w:styleId="C4">
    <w:name w:val="Нижній колонтитул Знак"/>
    <w:link w:val="P2"/>
    <w:rPr>
      <w:rFonts w:ascii="Calibri" w:hAnsi="Calibri"/>
    </w:rPr>
  </w:style>
  <w:style w:type="character" w:styleId="C5">
    <w:name w:val="Body text (2)_"/>
    <w:link w:val="P3"/>
    <w:rPr>
      <w:sz w:val="28"/>
      <w:shd w:val="clear" w:color="auto" w:fill="FFFFFF"/>
    </w:rPr>
  </w:style>
  <w:style w:type="character" w:styleId="C6">
    <w:name w:val="rvts9"/>
    <w:rPr/>
  </w:style>
  <w:style w:type="character" w:styleId="C7">
    <w:name w:val="Текст у виносці Знак"/>
    <w:link w:val="P5"/>
    <w:semiHidden/>
    <w:rPr>
      <w:rFonts w:ascii="Segoe UI" w:hAnsi="Segoe UI"/>
      <w:sz w:val="18"/>
      <w:szCs w:val="18"/>
    </w:rPr>
  </w:style>
  <w:style w:type="character" w:styleId="C8">
    <w:name w:val="rvts0"/>
    <w:rPr/>
  </w:style>
  <w:style w:type="character" w:styleId="C9">
    <w:name w:val="Стандартний HTML Знак"/>
    <w:link w:val="P7"/>
    <w:rPr>
      <w:rFonts w:ascii="Consolas" w:hAnsi="Consolas"/>
      <w:sz w:val="20"/>
      <w:szCs w:val="20"/>
    </w:rPr>
  </w:style>
  <w:style w:type="character" w:styleId="C10">
    <w:name w:val="Footnote Reference"/>
    <w:semiHidden/>
    <w:rPr>
      <w:vertAlign w:val="superscript"/>
    </w:rPr>
  </w:style>
  <w:style w:type="character" w:styleId="C11">
    <w:name w:val="Текст виноски Знак"/>
    <w:link w:val="P8"/>
    <w:semiHidden/>
    <w:rPr>
      <w:sz w:val="20"/>
      <w:szCs w:val="20"/>
    </w:rPr>
  </w:style>
  <w:style w:type="character" w:styleId="C12">
    <w:name w:val="Endnote Reference"/>
    <w:semiHidden/>
    <w:rPr>
      <w:vertAlign w:val="superscript"/>
    </w:rPr>
  </w:style>
  <w:style w:type="character" w:styleId="C13">
    <w:name w:val="Текст кінцевої виноски Знак"/>
    <w:link w:val="P9"/>
    <w:semiHidden/>
    <w:rPr>
      <w:sz w:val="20"/>
      <w:szCs w:val="20"/>
    </w:rPr>
  </w:style>
  <w:style w:type="character" w:styleId="C14">
    <w:name w:val="Footnote Text Char"/>
    <w:semiHidden/>
    <w:rPr>
      <w:sz w:val="20"/>
      <w:szCs w:val="20"/>
    </w:rPr>
  </w:style>
  <w:style w:type="character" w:styleId="C15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rPr>
      <w:sz w:val="22"/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5524-4330-4c70-b7b7-335f0eb68a79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Курій Олександр Олександрович</dc:creator>
  <dcterms:created xsi:type="dcterms:W3CDTF">2025-12-11T09:36:00Z</dcterms:created>
  <cp:lastModifiedBy>pool-iis</cp:lastModifiedBy>
  <cp:lastPrinted>2025-07-17T11:42:00Z</cp:lastPrinted>
  <dcterms:modified xsi:type="dcterms:W3CDTF">2025-12-12T16:07:08Z</dcterms:modified>
  <cp:revision>9</cp:revision>
</cp:coreProperties>
</file>