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CC6C" w14:textId="77777777" w:rsidR="00B03E30" w:rsidRDefault="006F7D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ПОЯСНЮВАЛЬНА ЗАПИСКА</w:t>
      </w:r>
    </w:p>
    <w:p w14:paraId="0E3CF2A6" w14:textId="77777777" w:rsidR="00B03E30" w:rsidRDefault="006F7D18">
      <w:pPr>
        <w:pStyle w:val="ad"/>
        <w:spacing w:before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постанови Кабінету Міністрів України “Про затвердження Порядку </w:t>
      </w:r>
      <w:r>
        <w:rPr>
          <w:rFonts w:ascii="Times New Roman" w:hAnsi="Times New Roman"/>
          <w:b/>
          <w:bCs/>
          <w:sz w:val="28"/>
          <w:szCs w:val="28"/>
        </w:rPr>
        <w:t>організації здійснення почесних поховань та увічнення пам’яті на військовому кладовищі або у секторі військових поховань</w:t>
      </w:r>
      <w:r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”</w:t>
      </w:r>
    </w:p>
    <w:p w14:paraId="5335929D" w14:textId="77777777" w:rsidR="00B03E30" w:rsidRDefault="00B03E3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9466661" w14:textId="77777777" w:rsidR="00B03E30" w:rsidRDefault="006F7D18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Мета</w:t>
      </w:r>
    </w:p>
    <w:p w14:paraId="2CD26CCF" w14:textId="77777777" w:rsidR="00B03E30" w:rsidRDefault="006F7D18">
      <w:pPr>
        <w:pStyle w:val="ad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підготовлено з метою виконання положень частини третьої </w:t>
      </w:r>
      <w:r>
        <w:rPr>
          <w:rFonts w:ascii="Times New Roman" w:hAnsi="Times New Roman"/>
          <w:sz w:val="28"/>
          <w:szCs w:val="28"/>
        </w:rPr>
        <w:t xml:space="preserve">статті </w:t>
      </w:r>
      <w:r>
        <w:rPr>
          <w:rFonts w:ascii="Times New Roman" w:hAnsi="Times New Roman"/>
          <w:color w:val="000000"/>
          <w:sz w:val="28"/>
          <w:szCs w:val="28"/>
        </w:rPr>
        <w:t>23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Закону України </w:t>
      </w:r>
      <w:r>
        <w:rPr>
          <w:rFonts w:ascii="Times New Roman" w:hAnsi="Times New Roman"/>
          <w:sz w:val="28"/>
          <w:szCs w:val="28"/>
        </w:rPr>
        <w:t>“Про поховання та похоронну справу” щодо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затвердження Порядку організації здійснення почесних поховань та увічнення пам’яті на військовому кладовищі або у секторі військових поховань.</w:t>
      </w:r>
    </w:p>
    <w:p w14:paraId="1FA50550" w14:textId="77777777" w:rsidR="00B03E30" w:rsidRDefault="006F7D18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2. Обґрунтування необхідності прийняття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акта</w:t>
      </w:r>
      <w:proofErr w:type="spellEnd"/>
    </w:p>
    <w:p w14:paraId="18C985D0" w14:textId="77777777" w:rsidR="00B03E30" w:rsidRDefault="006F7D1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Набрав чинності Закон України від 30 квітня 2026 року № 4869-ІХ “Про внесення змін до деяких законодавчих актів України щодо місць поховання загиблих (померлих) осіб, які захищали незалежність, суверенітет та територіальну цілісність України” (далі – Закон), яким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внесено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зміни до Закону України “Про поховання та похоронну справу” в частині функціонування Національного військового меморіального кладовища, військових меморіальних кладовищ, військових кладовищ і секторів військових поховань, а також здійснення почесних поховань і перепоховань загиблих (померлих) осіб.</w:t>
      </w:r>
      <w:r>
        <w:rPr>
          <w:color w:val="000000"/>
          <w:sz w:val="28"/>
          <w:szCs w:val="28"/>
        </w:rPr>
        <w:t xml:space="preserve"> </w:t>
      </w:r>
    </w:p>
    <w:p w14:paraId="061F3570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Зокрема, Закон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“Про поховання та похоронну справу” доповнено статтею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23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відповідно до якої</w:t>
      </w:r>
      <w:r>
        <w:rPr>
          <w:rFonts w:ascii="Times New Roman" w:hAnsi="Times New Roman"/>
          <w:sz w:val="28"/>
          <w:szCs w:val="28"/>
          <w:lang w:val="uk-UA"/>
        </w:rPr>
        <w:t xml:space="preserve"> органи місцевого самоврядування з метою здійснення почесних поховань загиблих (померлих) осіб, які захищали незалежність, суверенітет та територіальну цілісність України, забезпечували виконання службових обов’язків та присяги на вірність Українському народу, можуть у межах існуючих місць поховання виділяти сектори військових поховань або відводити земельні ділянки для створення військового кладовища.</w:t>
      </w:r>
    </w:p>
    <w:p w14:paraId="7651B7FD" w14:textId="77777777" w:rsidR="00B03E30" w:rsidRDefault="006F7D18">
      <w:pPr>
        <w:tabs>
          <w:tab w:val="left" w:pos="766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Частиною третьою цієї ж статті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визначено, що Порядок організації здійснення почесних поховань та увічнення пам’яті на військовому кладовищі або у секторі військових поховань визначає Кабінет Міністрів України.</w:t>
      </w:r>
    </w:p>
    <w:p w14:paraId="380C6EDB" w14:textId="77777777" w:rsidR="00B03E30" w:rsidRDefault="006F7D18">
      <w:pPr>
        <w:tabs>
          <w:tab w:val="left" w:pos="766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огляду на зазначені законодавчі зміни виникла необхідність у прийнятті нормативно-правового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України, який забезпечить реалізацію положень Закону України “Про поховання та похоронну справу”, врегулює на нормативному рівні питання організації здійснення почесних поховань та увічнення пам’яті на військових кладовищах і в секторах військових поховань, визначить єдині вимоги, а також забезпечить єдиний підхід до реалізації органами місцевого самоврядування наданих їм повноважень. Прийняття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сприятиме формуванню єдиної державної політики у сфері військових поховань, належному</w:t>
      </w:r>
      <w:r>
        <w:rPr>
          <w:rFonts w:ascii="Times New Roman" w:hAnsi="Times New Roman"/>
          <w:sz w:val="28"/>
          <w:szCs w:val="28"/>
          <w:lang w:val="uk-UA"/>
        </w:rPr>
        <w:t xml:space="preserve"> вшануванню пам’яті загиблих (померлих) захисників і захисниць України та унеможливить застосування різних підходів до організації військових кладовищ і секторів військових поховань.</w:t>
      </w:r>
    </w:p>
    <w:p w14:paraId="50058A78" w14:textId="77777777" w:rsidR="00B03E30" w:rsidRDefault="006F7D18">
      <w:pPr>
        <w:tabs>
          <w:tab w:val="left" w:pos="766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пропонується затвердити порядок організації здійснення почесних поховань та увічнення пам’яті на військовому кладовищі або у секторі військових поховань, який визначатиме єдині організаційні засади створення та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функціонування військових кладовищ і секторів військових поховань, організації та здійснення почесних поховань і перепоховань, а також увічнення пам’яті загиблих (померлих) осіб.</w:t>
      </w:r>
    </w:p>
    <w:p w14:paraId="7F9DFF4C" w14:textId="77777777" w:rsidR="00B03E30" w:rsidRDefault="006F7D18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3. Основні положення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акта</w:t>
      </w:r>
      <w:proofErr w:type="spellEnd"/>
    </w:p>
    <w:p w14:paraId="6B58016A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31207532"/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передбачає затвердження Порядку організації здійснення почесних поховань та увічнення пам’яті на військовому кладовищі або у секторі військових поховань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2A3B349F" w14:textId="77777777" w:rsidR="00B03E30" w:rsidRDefault="006F7D18">
      <w:pPr>
        <w:pStyle w:val="rvps2"/>
        <w:shd w:val="clear" w:color="auto" w:fill="FFFFFF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Правові аспекти</w:t>
      </w:r>
    </w:p>
    <w:p w14:paraId="3C5E8E01" w14:textId="77777777" w:rsidR="00B03E30" w:rsidRDefault="006F7D1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Закони України: “Про поховання та похоронну справу”, </w:t>
      </w:r>
      <w:r>
        <w:rPr>
          <w:color w:val="000000"/>
          <w:sz w:val="28"/>
          <w:szCs w:val="28"/>
        </w:rPr>
        <w:t xml:space="preserve">від 30.04.2026 № 4869-IX “Про внесення змін до деяких законодавчих актів України щодо місць поховання загиблих (померлих) осіб, які захищали незалежність, суверенітет та територіальну цілісність </w:t>
      </w:r>
      <w:proofErr w:type="spellStart"/>
      <w:r>
        <w:rPr>
          <w:color w:val="000000"/>
          <w:sz w:val="28"/>
          <w:szCs w:val="28"/>
        </w:rPr>
        <w:t>Україниˮ</w:t>
      </w:r>
      <w:proofErr w:type="spellEnd"/>
      <w:r>
        <w:rPr>
          <w:color w:val="000000"/>
          <w:sz w:val="28"/>
          <w:szCs w:val="28"/>
        </w:rPr>
        <w:t xml:space="preserve">, “Про місцеве самоврядування в Україні”, </w:t>
      </w:r>
      <w:r>
        <w:rPr>
          <w:sz w:val="28"/>
          <w:szCs w:val="28"/>
        </w:rPr>
        <w:t>Положення про Міністерство у справах ветеранів України, затверджене постановою Кабінету Міністрів України від 27.12.2018 № 1175 (в редакції постанови Кабінету Міністрів України від 15.04.2020 № 276).</w:t>
      </w:r>
    </w:p>
    <w:bookmarkEnd w:id="0"/>
    <w:p w14:paraId="127A98D4" w14:textId="77777777" w:rsidR="00B03E30" w:rsidRDefault="006F7D18">
      <w:pPr>
        <w:pStyle w:val="3"/>
        <w:spacing w:before="12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Фінансово-економічне обґрунтування</w:t>
      </w:r>
    </w:p>
    <w:p w14:paraId="0445B60A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Реалізація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потребуватиме додаткових видатків з державного бюджету, оскільки здійснюватиметься за рахунок бюджетних коштів, передбачених для відповідних органів виконавчої влади та </w:t>
      </w:r>
      <w:r>
        <w:rPr>
          <w:rFonts w:ascii="Times New Roman" w:hAnsi="Times New Roman"/>
          <w:sz w:val="28"/>
          <w:lang w:val="uk-UA"/>
        </w:rPr>
        <w:t>органів місцевого самоврядування.</w:t>
      </w:r>
    </w:p>
    <w:p w14:paraId="016559E1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Фінансово-економічні розрахунки буде складено після надходження від заінтересованих органів пропозицій щодо обсягів видатків, необхідних для реалізації </w:t>
      </w:r>
      <w:proofErr w:type="spellStart"/>
      <w:r>
        <w:rPr>
          <w:rFonts w:ascii="Times New Roman" w:hAnsi="Times New Roman"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14:paraId="2835C1B7" w14:textId="77777777" w:rsidR="00B03E30" w:rsidRDefault="00B03E30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</w:p>
    <w:p w14:paraId="31554D11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 Позиція заінтересованих сторін</w:t>
      </w:r>
    </w:p>
    <w:p w14:paraId="307A6460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потребує погодження Мінфіном, Міністерством економіки та довкілля України,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Мінцифрою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6F7D18">
        <w:rPr>
          <w:rFonts w:ascii="Times New Roman" w:hAnsi="Times New Roman"/>
          <w:color w:val="000000"/>
          <w:sz w:val="28"/>
          <w:szCs w:val="28"/>
          <w:lang w:val="uk-UA"/>
        </w:rPr>
        <w:t>Міністерством з відновлення, інфраструктури та транспорту України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Міноборони, МВС, СБУ, Адміністрацією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Держприкордонслужби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Національною поліцією України, Національною гвардією України, ДЕСС,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Держспецтрансслужбою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, Українським інститутом національної пам’яті, обласними та Київською міською військовими адміністраціями, а також потребує проведення правової експертизи Мін’юстом.</w:t>
      </w:r>
    </w:p>
    <w:p w14:paraId="626974E0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Публічні консультації з громадськістю будуть проведені у формі електронних консультацій на офіційному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Мінветеранів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 до вимог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3 листопада 2010 р. № 996.</w:t>
      </w:r>
    </w:p>
    <w:p w14:paraId="02B5AE33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не стосується сфери наукової та науково-технічної діяльності.</w:t>
      </w:r>
    </w:p>
    <w:p w14:paraId="0EE89D38" w14:textId="77777777" w:rsidR="00B03E30" w:rsidRDefault="006F7D18">
      <w:pPr>
        <w:pStyle w:val="3"/>
        <w:spacing w:before="12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Оцінка відповідності</w:t>
      </w:r>
    </w:p>
    <w:p w14:paraId="0CE413CA" w14:textId="77777777" w:rsidR="00B03E30" w:rsidRDefault="006F7D18">
      <w:pPr>
        <w:pStyle w:val="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Проєкт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акта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не містить положень, що стосуються зобов’язань України у сфері європейської інтеграції, прав та свобод, гарантованих Конвенцією про захист прав людини і основоположних свобод, не впливають на забезпечення </w:t>
      </w:r>
      <w:r>
        <w:rPr>
          <w:b w:val="0"/>
          <w:bCs w:val="0"/>
          <w:color w:val="000000"/>
          <w:sz w:val="28"/>
          <w:szCs w:val="28"/>
          <w:lang w:val="uk-UA"/>
        </w:rPr>
        <w:lastRenderedPageBreak/>
        <w:t xml:space="preserve">рівних прав та можливостей жінок і чоловіків, не містять ризики вчинення корупційних правопорушень та правопорушень, пов’язаних з корупцією, створюють підстави для дискримінації, стосуються інших ризиків та обмежень, які можуть виникнути під час реалізації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акта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>.</w:t>
      </w:r>
    </w:p>
    <w:p w14:paraId="24D7D778" w14:textId="77777777" w:rsidR="00B03E30" w:rsidRDefault="006F7D18">
      <w:pPr>
        <w:pStyle w:val="rvps2"/>
        <w:shd w:val="clear" w:color="auto" w:fill="FFFFFF"/>
        <w:tabs>
          <w:tab w:val="left" w:pos="132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Громадська антикорупційна, громадська </w:t>
      </w:r>
      <w:proofErr w:type="spellStart"/>
      <w:r>
        <w:rPr>
          <w:color w:val="000000"/>
          <w:sz w:val="28"/>
          <w:szCs w:val="28"/>
        </w:rPr>
        <w:t>антидискримінаційна</w:t>
      </w:r>
      <w:proofErr w:type="spellEnd"/>
      <w:r>
        <w:rPr>
          <w:color w:val="000000"/>
          <w:sz w:val="28"/>
          <w:szCs w:val="28"/>
        </w:rPr>
        <w:t xml:space="preserve"> та громадська </w:t>
      </w:r>
      <w:proofErr w:type="spellStart"/>
      <w:r>
        <w:rPr>
          <w:color w:val="000000"/>
          <w:sz w:val="28"/>
          <w:szCs w:val="28"/>
        </w:rPr>
        <w:t>гендерно</w:t>
      </w:r>
      <w:proofErr w:type="spellEnd"/>
      <w:r>
        <w:rPr>
          <w:color w:val="000000"/>
          <w:sz w:val="28"/>
          <w:szCs w:val="28"/>
        </w:rPr>
        <w:t>-правова експертиза не проводилися.</w:t>
      </w:r>
    </w:p>
    <w:p w14:paraId="0771DB15" w14:textId="77777777" w:rsidR="00B03E30" w:rsidRDefault="006F7D18">
      <w:pPr>
        <w:pStyle w:val="rvps2"/>
        <w:shd w:val="clear" w:color="auto" w:fill="FFFFFF"/>
        <w:tabs>
          <w:tab w:val="left" w:pos="132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акта</w:t>
      </w:r>
      <w:proofErr w:type="spellEnd"/>
      <w:r>
        <w:rPr>
          <w:color w:val="000000"/>
          <w:sz w:val="28"/>
          <w:szCs w:val="28"/>
        </w:rPr>
        <w:t xml:space="preserve"> не є регуляторним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акта</w:t>
      </w:r>
      <w:proofErr w:type="spellEnd"/>
      <w:r>
        <w:rPr>
          <w:color w:val="000000"/>
          <w:sz w:val="28"/>
          <w:szCs w:val="28"/>
        </w:rPr>
        <w:t>.</w:t>
      </w:r>
    </w:p>
    <w:p w14:paraId="35EE68DB" w14:textId="77777777" w:rsidR="00B03E30" w:rsidRDefault="006F7D18">
      <w:pPr>
        <w:pStyle w:val="3"/>
        <w:spacing w:before="12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Прогноз результатів</w:t>
      </w:r>
    </w:p>
    <w:p w14:paraId="16396431" w14:textId="77777777" w:rsidR="00B03E30" w:rsidRDefault="006F7D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Прийняття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сприятиме </w:t>
      </w:r>
      <w:r>
        <w:rPr>
          <w:rFonts w:ascii="Times New Roman" w:hAnsi="Times New Roman"/>
          <w:sz w:val="28"/>
          <w:szCs w:val="28"/>
          <w:lang w:val="uk-UA"/>
        </w:rPr>
        <w:t>організації здійснення почесних поховань та увічнення пам’яті загиблих (померлих) осіб, які захищали незалежність, суверенітет та територіальну цілісність України на військових кладовищах або секторах військових поховань.</w:t>
      </w:r>
    </w:p>
    <w:p w14:paraId="32C55BFB" w14:textId="77777777" w:rsidR="00B03E30" w:rsidRDefault="006F7D18">
      <w:pPr>
        <w:pStyle w:val="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Реалізація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проєкту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акта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матиме позитивний вплив на інтереси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осіб, які захищали незалежність, суверенітет та територіальну цілісність України, забезпечували виконання службових обов’язків та присяги на вірність Українському народу та їх сімей.</w:t>
      </w:r>
    </w:p>
    <w:p w14:paraId="58667E27" w14:textId="77777777" w:rsidR="00B03E30" w:rsidRDefault="006F7D18">
      <w:pPr>
        <w:pStyle w:val="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 xml:space="preserve">Реалізація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проєкту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 w:val="0"/>
          <w:bCs w:val="0"/>
          <w:color w:val="000000"/>
          <w:sz w:val="28"/>
          <w:szCs w:val="28"/>
          <w:lang w:val="uk-UA"/>
        </w:rPr>
        <w:t>акта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не матиме впливу на ринкове середовище, забезпечення захисту прав та інтересів суб’єктів господарювання, громадян і держави; розвиток 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</w:t>
      </w:r>
      <w:r>
        <w:rPr>
          <w:b w:val="0"/>
          <w:bCs w:val="0"/>
          <w:color w:val="000000"/>
          <w:sz w:val="28"/>
          <w:szCs w:val="28"/>
          <w:lang w:val="uk-UA"/>
        </w:rPr>
        <w:t>одами.</w:t>
      </w:r>
    </w:p>
    <w:p w14:paraId="6F02936E" w14:textId="77777777" w:rsidR="00B03E30" w:rsidRDefault="00B03E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DEC710" w14:textId="77777777" w:rsidR="00B03E30" w:rsidRDefault="00B03E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87A46E" w14:textId="77777777" w:rsidR="00B03E30" w:rsidRDefault="006F7D1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Міністр у справах</w:t>
      </w:r>
    </w:p>
    <w:p w14:paraId="27BBCDDB" w14:textId="77777777" w:rsidR="00B03E30" w:rsidRDefault="006F7D18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ветеранів України                                                                             Віталій КІМ</w:t>
      </w:r>
    </w:p>
    <w:p w14:paraId="6AD4FF61" w14:textId="77777777" w:rsidR="00B03E30" w:rsidRDefault="00B03E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562E9E" w14:textId="77777777" w:rsidR="00B03E30" w:rsidRDefault="006F7D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“___”  ___________ 2026 р.</w:t>
      </w:r>
    </w:p>
    <w:sectPr w:rsidR="00B03E30">
      <w:headerReference w:type="default" r:id="rId7"/>
      <w:pgSz w:w="11906" w:h="16838"/>
      <w:pgMar w:top="1134" w:right="567" w:bottom="1418" w:left="1701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942B" w14:textId="77777777" w:rsidR="00B03E30" w:rsidRDefault="00B03E30">
      <w:pPr>
        <w:spacing w:after="0" w:line="240" w:lineRule="auto"/>
      </w:pPr>
    </w:p>
  </w:endnote>
  <w:endnote w:type="continuationSeparator" w:id="0">
    <w:p w14:paraId="57579D71" w14:textId="77777777" w:rsidR="00B03E30" w:rsidRDefault="00B03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DD6D" w14:textId="77777777" w:rsidR="00B03E30" w:rsidRDefault="00B03E30">
      <w:pPr>
        <w:spacing w:after="0" w:line="240" w:lineRule="auto"/>
      </w:pPr>
    </w:p>
  </w:footnote>
  <w:footnote w:type="continuationSeparator" w:id="0">
    <w:p w14:paraId="396E3365" w14:textId="77777777" w:rsidR="00B03E30" w:rsidRDefault="00B03E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4598" w14:textId="77777777" w:rsidR="00B03E30" w:rsidRDefault="006F7D18">
    <w:pPr>
      <w:pStyle w:val="a4"/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#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0"/>
    <w:rsid w:val="000B04A1"/>
    <w:rsid w:val="006F7D18"/>
    <w:rsid w:val="00B0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87ED"/>
  <w15:docId w15:val="{A79DAE23-131D-479F-89B9-BC64C451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  <w:szCs w:val="22"/>
      <w:lang w:val="ru-RU"/>
    </w:rPr>
  </w:style>
  <w:style w:type="paragraph" w:styleId="a4">
    <w:name w:val="header"/>
    <w:basedOn w:val="a"/>
    <w:link w:val="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  <w:szCs w:val="18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styleId="aa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styleId="ab">
    <w:name w:val="Body Text Indent"/>
    <w:basedOn w:val="a"/>
    <w:link w:val="ac"/>
    <w:pPr>
      <w:shd w:val="clear" w:color="auto" w:fill="FFFFFF"/>
      <w:spacing w:before="120" w:after="120" w:line="240" w:lineRule="auto"/>
      <w:ind w:right="-185" w:firstLine="708"/>
      <w:jc w:val="both"/>
    </w:pPr>
    <w:rPr>
      <w:rFonts w:ascii="Times New Roman" w:hAnsi="Times New Roman"/>
      <w:sz w:val="28"/>
      <w:szCs w:val="28"/>
      <w:lang w:val="uk-UA"/>
    </w:rPr>
  </w:style>
  <w:style w:type="paragraph" w:customStyle="1" w:styleId="ad">
    <w:name w:val="Нормальний текст"/>
    <w:basedOn w:val="a"/>
    <w:pPr>
      <w:spacing w:before="120" w:after="0" w:line="240" w:lineRule="auto"/>
      <w:ind w:firstLine="567"/>
    </w:pPr>
    <w:rPr>
      <w:rFonts w:ascii="Antiqua" w:hAnsi="Antiqua"/>
      <w:sz w:val="26"/>
      <w:szCs w:val="26"/>
      <w:lang w:val="uk-UA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paragraph" w:styleId="ae">
    <w:name w:val="footnote text"/>
    <w:link w:val="af"/>
    <w:semiHidden/>
  </w:style>
  <w:style w:type="paragraph" w:styleId="af0">
    <w:name w:val="endnote text"/>
    <w:link w:val="af1"/>
    <w:semiHidden/>
  </w:style>
  <w:style w:type="character" w:styleId="af2">
    <w:name w:val="line number"/>
    <w:basedOn w:val="a0"/>
    <w:semiHidden/>
  </w:style>
  <w:style w:type="character" w:styleId="af3">
    <w:name w:val="Hyperlink"/>
    <w:rPr>
      <w:color w:val="0000FF"/>
      <w:u w:val="single"/>
    </w:rPr>
  </w:style>
  <w:style w:type="character" w:customStyle="1" w:styleId="a5">
    <w:name w:val="Верхній колонтитул Знак"/>
    <w:link w:val="a4"/>
    <w:rPr>
      <w:sz w:val="22"/>
      <w:szCs w:val="22"/>
      <w:lang w:val="ru-RU"/>
    </w:rPr>
  </w:style>
  <w:style w:type="character" w:customStyle="1" w:styleId="a7">
    <w:name w:val="Нижній колонтитул Знак"/>
    <w:link w:val="a6"/>
    <w:rPr>
      <w:sz w:val="22"/>
      <w:szCs w:val="22"/>
      <w:lang w:val="ru-RU"/>
    </w:rPr>
  </w:style>
  <w:style w:type="character" w:customStyle="1" w:styleId="a9">
    <w:name w:val="Текст у виносці Знак"/>
    <w:link w:val="a8"/>
    <w:rPr>
      <w:rFonts w:ascii="Segoe UI" w:hAnsi="Segoe UI"/>
      <w:sz w:val="18"/>
      <w:szCs w:val="18"/>
      <w:lang w:val="ru-RU"/>
    </w:rPr>
  </w:style>
  <w:style w:type="character" w:customStyle="1" w:styleId="30">
    <w:name w:val="Заголовок 3 Знак"/>
    <w:link w:val="3"/>
    <w:rPr>
      <w:rFonts w:ascii="Times New Roman" w:hAnsi="Times New Roman"/>
      <w:b/>
      <w:bCs/>
      <w:sz w:val="27"/>
      <w:szCs w:val="27"/>
      <w:lang w:val="en-US"/>
    </w:rPr>
  </w:style>
  <w:style w:type="character" w:customStyle="1" w:styleId="ac">
    <w:name w:val="Основний текст з відступом Знак"/>
    <w:link w:val="ab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0">
    <w:name w:val="Основний текст 2 Знак"/>
    <w:link w:val="2"/>
    <w:rPr>
      <w:sz w:val="22"/>
      <w:szCs w:val="22"/>
    </w:rPr>
  </w:style>
  <w:style w:type="character" w:customStyle="1" w:styleId="10">
    <w:name w:val="Заголовок 1 Знак"/>
    <w:link w:val="1"/>
    <w:rPr>
      <w:rFonts w:ascii="Calibri Light" w:hAnsi="Calibri Light"/>
      <w:b/>
      <w:bCs/>
      <w:kern w:val="32"/>
      <w:sz w:val="32"/>
      <w:szCs w:val="32"/>
      <w:lang w:val="ru-RU"/>
    </w:rPr>
  </w:style>
  <w:style w:type="character" w:styleId="af4">
    <w:name w:val="footnote reference"/>
    <w:semiHidden/>
    <w:rPr>
      <w:vertAlign w:val="superscript"/>
    </w:rPr>
  </w:style>
  <w:style w:type="character" w:customStyle="1" w:styleId="af">
    <w:name w:val="Текст виноски Знак"/>
    <w:link w:val="ae"/>
    <w:semiHidden/>
    <w:rPr>
      <w:sz w:val="20"/>
      <w:szCs w:val="20"/>
    </w:rPr>
  </w:style>
  <w:style w:type="character" w:styleId="af5">
    <w:name w:val="endnote reference"/>
    <w:semiHidden/>
    <w:rPr>
      <w:vertAlign w:val="superscript"/>
    </w:rPr>
  </w:style>
  <w:style w:type="character" w:customStyle="1" w:styleId="af1">
    <w:name w:val="Текст кінцевої виноски Знак"/>
    <w:link w:val="af0"/>
    <w:semiHidden/>
    <w:rPr>
      <w:sz w:val="20"/>
      <w:szCs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FF58A-9DA3-4C90-8860-D0FED1E98958}">
  <ds:schemaRefs>
    <ds:schemaRef ds:uri="http://schemas.microsoft.com/vsto/samples"/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5928</Characters>
  <Application>Microsoft Office Word</Application>
  <DocSecurity>0</DocSecurity>
  <Lines>49</Lines>
  <Paragraphs>13</Paragraphs>
  <ScaleCrop>false</ScaleCrop>
  <Company>Державна служба з питань інвалідів та ветеранів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Шута В.М.</dc:creator>
  <cp:lastModifiedBy>Малюта Олена Володимирівна</cp:lastModifiedBy>
  <cp:revision>2</cp:revision>
  <cp:lastPrinted>2020-06-24T08:11:00Z</cp:lastPrinted>
  <dcterms:created xsi:type="dcterms:W3CDTF">2026-08-20T08:12:00Z</dcterms:created>
  <dcterms:modified xsi:type="dcterms:W3CDTF">2026-08-20T08:12:00Z</dcterms:modified>
</cp:coreProperties>
</file>