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pStyle w:val="P1"/>
        <w:spacing w:lineRule="auto" w:line="240" w:after="0"/>
        <w:jc w:val="center"/>
        <w:rPr>
          <w:rFonts w:ascii="Times New Roman" w:hAnsi="Times New Roman"/>
          <w:b w:val="1"/>
          <w:bCs w:val="1"/>
          <w:sz w:val="26"/>
          <w:szCs w:val="26"/>
          <w:lang w:val="uk-UA"/>
        </w:rPr>
      </w:pPr>
      <w:r>
        <w:rPr>
          <w:rFonts w:ascii="Times New Roman" w:hAnsi="Times New Roman"/>
          <w:b w:val="1"/>
          <w:bCs w:val="1"/>
          <w:sz w:val="26"/>
          <w:szCs w:val="26"/>
          <w:lang w:val="uk-UA"/>
        </w:rPr>
        <w:t>ПОЯСНЮВАЛЬНА ЗАПИСКА</w:t>
      </w:r>
    </w:p>
    <w:p>
      <w:pPr>
        <w:pStyle w:val="P11"/>
        <w:spacing w:before="0"/>
        <w:ind w:firstLine="0"/>
        <w:jc w:val="center"/>
        <w:rPr>
          <w:rFonts w:ascii="Times New Roman" w:hAnsi="Times New Roman"/>
          <w:b w:val="1"/>
          <w:bCs w:val="1"/>
        </w:rPr>
      </w:pPr>
      <w:r>
        <w:rPr>
          <w:rFonts w:ascii="Times New Roman" w:hAnsi="Times New Roman"/>
          <w:b w:val="1"/>
          <w:bCs w:val="1"/>
        </w:rPr>
        <w:t xml:space="preserve">до </w:t>
      </w:r>
      <w:r>
        <w:rPr>
          <w:rFonts w:ascii="Times New Roman" w:hAnsi="Times New Roman"/>
          <w:b w:val="1"/>
          <w:bCs w:val="1"/>
        </w:rPr>
        <w:t>проєкту постанови Кабінету Міністрів України “</w:t>
      </w:r>
      <w:r>
        <w:rPr>
          <w:rFonts w:ascii="Times New Roman" w:hAnsi="Times New Roman"/>
          <w:b w:val="1"/>
          <w:bCs w:val="1"/>
        </w:rPr>
        <w:t>Про внесення змін</w:t>
      </w:r>
      <w:r>
        <w:rPr>
          <w:rFonts w:ascii="Times New Roman" w:hAnsi="Times New Roman"/>
          <w:b w:val="1"/>
          <w:bCs w:val="1"/>
        </w:rPr>
        <w:t>и</w:t>
      </w:r>
      <w:r>
        <w:rPr>
          <w:rFonts w:ascii="Times New Roman" w:hAnsi="Times New Roman"/>
          <w:b w:val="1"/>
          <w:bCs w:val="1"/>
        </w:rPr>
        <w:t xml:space="preserve"> </w:t>
      </w:r>
      <w:r>
        <w:rPr>
          <w:rFonts w:ascii="Times New Roman" w:hAnsi="Times New Roman"/>
          <w:b w:val="1"/>
          <w:bCs w:val="1"/>
        </w:rPr>
        <w:br w:type="textWrapping"/>
      </w:r>
      <w:r>
        <w:rPr>
          <w:rFonts w:ascii="Times New Roman" w:hAnsi="Times New Roman"/>
          <w:b w:val="1"/>
          <w:bCs w:val="1"/>
        </w:rPr>
        <w:t xml:space="preserve">до </w:t>
      </w:r>
      <w:r>
        <w:rPr>
          <w:rFonts w:ascii="Times New Roman" w:hAnsi="Times New Roman"/>
          <w:b w:val="1"/>
          <w:bCs w:val="1"/>
        </w:rPr>
        <w:t xml:space="preserve">пункту 17 </w:t>
      </w:r>
      <w:r>
        <w:rPr>
          <w:rFonts w:ascii="Times New Roman" w:hAnsi="Times New Roman"/>
          <w:b w:val="1"/>
          <w:bCs w:val="1"/>
        </w:rPr>
        <w:t xml:space="preserve">Порядку розміщення кенотафів особам, які захищали </w:t>
      </w:r>
      <w:r>
        <w:rPr>
          <w:rFonts w:ascii="Times New Roman" w:hAnsi="Times New Roman"/>
          <w:b w:val="1"/>
          <w:bCs w:val="1"/>
        </w:rPr>
        <w:br w:type="textWrapping"/>
      </w:r>
      <w:r>
        <w:rPr>
          <w:rFonts w:ascii="Times New Roman" w:hAnsi="Times New Roman"/>
          <w:b w:val="1"/>
          <w:bCs w:val="1"/>
        </w:rPr>
        <w:t xml:space="preserve">незалежність, суверенітет та територіальну цілісність України, </w:t>
      </w:r>
      <w:r>
        <w:rPr>
          <w:rFonts w:ascii="Times New Roman" w:hAnsi="Times New Roman"/>
          <w:b w:val="1"/>
          <w:bCs w:val="1"/>
        </w:rPr>
        <w:br w:type="textWrapping"/>
      </w:r>
      <w:r>
        <w:rPr>
          <w:rFonts w:ascii="Times New Roman" w:hAnsi="Times New Roman"/>
          <w:b w:val="1"/>
          <w:bCs w:val="1"/>
        </w:rPr>
        <w:t>з числа осіб, які судом оголошені померлими, на території кладовищ</w:t>
      </w:r>
      <w:r>
        <w:rPr>
          <w:rFonts w:ascii="Times New Roman" w:hAnsi="Times New Roman"/>
          <w:b w:val="1"/>
          <w:bCs w:val="1"/>
          <w:color w:val="212529"/>
          <w:shd w:val="clear" w:color="auto" w:fill="FFFFFF"/>
        </w:rPr>
        <w:t>”</w:t>
      </w:r>
    </w:p>
    <w:p>
      <w:pPr>
        <w:pStyle w:val="P1"/>
        <w:spacing w:lineRule="auto" w:line="240" w:after="0"/>
        <w:ind w:firstLine="709"/>
        <w:jc w:val="center"/>
        <w:rPr>
          <w:rFonts w:ascii="Times New Roman" w:hAnsi="Times New Roman"/>
          <w:b w:val="1"/>
          <w:bCs w:val="1"/>
          <w:sz w:val="26"/>
          <w:szCs w:val="26"/>
          <w:lang w:val="uk-UA"/>
        </w:rPr>
      </w:pPr>
    </w:p>
    <w:p>
      <w:pPr>
        <w:pStyle w:val="P3"/>
        <w:spacing w:before="0" w:after="0" w:beforeAutospacing="0" w:afterAutospacing="0"/>
        <w:ind w:firstLine="567"/>
        <w:jc w:val="both"/>
        <w:rPr>
          <w:sz w:val="26"/>
          <w:szCs w:val="26"/>
          <w:lang w:val="uk-UA"/>
        </w:rPr>
      </w:pPr>
      <w:r>
        <w:rPr>
          <w:sz w:val="26"/>
          <w:szCs w:val="26"/>
          <w:lang w:val="uk-UA"/>
        </w:rPr>
        <w:t>1. Мета</w:t>
      </w:r>
    </w:p>
    <w:p>
      <w:pPr>
        <w:pStyle w:val="P11"/>
        <w:spacing w:before="0"/>
        <w:jc w:val="both"/>
        <w:rPr>
          <w:rFonts w:ascii="Times New Roman" w:hAnsi="Times New Roman"/>
          <w:color w:val="000000"/>
        </w:rPr>
      </w:pPr>
      <w:r>
        <w:rPr>
          <w:rFonts w:ascii="Times New Roman" w:hAnsi="Times New Roman"/>
          <w:color w:val="000000"/>
        </w:rPr>
        <w:t xml:space="preserve">Проєкт акта підготовлено з метою врегулювання питання встановлення кенотафу </w:t>
      </w:r>
      <w:r>
        <w:rPr>
          <w:rFonts w:ascii="Times New Roman" w:hAnsi="Times New Roman"/>
        </w:rPr>
        <w:t>особам, які захищали незалежність, суверенітет та територіальну цілісність України, з числа осіб, які судом оголошені померлими, на території Національного військового меморіального кладовища не раніше ніж через рік після дати першого поховання на ньому.</w:t>
      </w:r>
    </w:p>
    <w:p>
      <w:pPr>
        <w:pStyle w:val="P1"/>
        <w:spacing w:lineRule="auto" w:line="240" w:after="0"/>
        <w:ind w:firstLine="567"/>
        <w:jc w:val="both"/>
        <w:rPr>
          <w:rFonts w:ascii="Times New Roman" w:hAnsi="Times New Roman"/>
          <w:b w:val="1"/>
          <w:bCs w:val="1"/>
          <w:sz w:val="16"/>
          <w:szCs w:val="26"/>
          <w:lang w:val="uk-UA"/>
        </w:rPr>
      </w:pPr>
    </w:p>
    <w:p>
      <w:pPr>
        <w:pStyle w:val="P1"/>
        <w:spacing w:lineRule="auto" w:line="240" w:after="0"/>
        <w:ind w:firstLine="567"/>
        <w:jc w:val="both"/>
        <w:rPr>
          <w:rFonts w:ascii="Times New Roman" w:hAnsi="Times New Roman"/>
          <w:b w:val="1"/>
          <w:bCs w:val="1"/>
          <w:sz w:val="26"/>
          <w:szCs w:val="26"/>
          <w:lang w:val="uk-UA"/>
        </w:rPr>
      </w:pPr>
      <w:r>
        <w:rPr>
          <w:rFonts w:ascii="Times New Roman" w:hAnsi="Times New Roman"/>
          <w:b w:val="1"/>
          <w:bCs w:val="1"/>
          <w:sz w:val="26"/>
          <w:szCs w:val="26"/>
          <w:lang w:val="uk-UA"/>
        </w:rPr>
        <w:t>2. Обґрунтування необхідності прийняття акта</w:t>
      </w:r>
    </w:p>
    <w:p>
      <w:pPr>
        <w:pStyle w:val="P1"/>
        <w:spacing w:lineRule="auto" w:line="240" w:after="0"/>
        <w:ind w:firstLine="567"/>
        <w:jc w:val="both"/>
        <w:rPr>
          <w:rFonts w:ascii="Times New Roman" w:hAnsi="Times New Roman"/>
          <w:sz w:val="26"/>
          <w:szCs w:val="26"/>
          <w:lang w:val="uk-UA"/>
        </w:rPr>
      </w:pPr>
      <w:r>
        <w:rPr>
          <w:rFonts w:ascii="Times New Roman" w:hAnsi="Times New Roman"/>
          <w:color w:val="000000"/>
          <w:sz w:val="26"/>
          <w:szCs w:val="26"/>
          <w:lang w:val="uk-UA"/>
        </w:rPr>
        <w:t xml:space="preserve">Частиною дев’ятою статті 23 Закону України </w:t>
      </w:r>
      <w:r>
        <w:rPr>
          <w:rFonts w:ascii="Times New Roman" w:hAnsi="Times New Roman"/>
          <w:sz w:val="26"/>
          <w:szCs w:val="26"/>
          <w:lang w:val="uk-UA"/>
        </w:rPr>
        <w:t>“Про поховання та похоронну справу” (далі – Закон) визначено, що Порядок розміщення кенотафів особам, які захищали незалежність, суверенітет та територіальну цілісність України, з числа осіб, які судом оголошені померлими, на території кладовищ встановлюється Кабінетом Міністрів України.</w:t>
      </w:r>
    </w:p>
    <w:p>
      <w:pPr>
        <w:pStyle w:val="P1"/>
        <w:spacing w:lineRule="auto" w:line="240" w:after="0"/>
        <w:ind w:firstLine="567"/>
        <w:jc w:val="both"/>
        <w:rPr>
          <w:rFonts w:ascii="Times New Roman" w:hAnsi="Times New Roman"/>
          <w:sz w:val="26"/>
          <w:szCs w:val="26"/>
          <w:lang w:val="uk-UA"/>
        </w:rPr>
      </w:pPr>
      <w:r>
        <w:rPr>
          <w:rFonts w:ascii="Times New Roman" w:hAnsi="Times New Roman"/>
          <w:sz w:val="26"/>
          <w:szCs w:val="26"/>
          <w:lang w:val="uk-UA"/>
        </w:rPr>
        <w:t xml:space="preserve">Абзацом третім пункту 23 </w:t>
      </w:r>
      <w:r>
        <w:rPr>
          <w:rFonts w:ascii="Times New Roman" w:hAnsi="Times New Roman"/>
          <w:color w:val="000000"/>
          <w:sz w:val="26"/>
          <w:szCs w:val="26"/>
          <w:lang w:val="uk-UA"/>
        </w:rPr>
        <w:t>Порядку розміщення кенотафів особам, які захищали незалежність, суверенітет та територіальну цілісність України, з числа осіб, які судом оголошені померлими, на території кладовищ, затвердженого постановою Кабінету Міністрів України від 22 листопада 2024 р. № 1373</w:t>
      </w:r>
      <w:r>
        <w:rPr>
          <w:rFonts w:ascii="Times New Roman" w:hAnsi="Times New Roman"/>
          <w:sz w:val="26"/>
          <w:szCs w:val="26"/>
          <w:lang w:val="uk-UA"/>
        </w:rPr>
        <w:t>, визначено, що кенотаф розміщується у вигляді намогильної споруди відповідно до зразків та описів намогильн</w:t>
      </w:r>
      <w:r>
        <w:rPr>
          <w:rFonts w:ascii="Times New Roman" w:hAnsi="Times New Roman"/>
          <w:sz w:val="26"/>
          <w:szCs w:val="26"/>
          <w:lang w:val="uk-UA"/>
        </w:rPr>
        <w:t xml:space="preserve">их споруд та меморіальних табличок, що встановлюються на території Національного військового меморіального </w:t>
      </w:r>
      <w:r>
        <w:rPr>
          <w:rFonts w:ascii="Times New Roman" w:hAnsi="Times New Roman"/>
          <w:sz w:val="26"/>
          <w:szCs w:val="26"/>
          <w:spacing w:val="-2"/>
          <w:lang w:val="uk-UA"/>
        </w:rPr>
        <w:t>кладовища, затверджених постановою Кабінету Міністрів України від 19 серпня</w:t>
      </w:r>
      <w:r>
        <w:rPr>
          <w:rFonts w:ascii="Times New Roman" w:hAnsi="Times New Roman"/>
          <w:sz w:val="26"/>
          <w:szCs w:val="26"/>
          <w:lang w:val="uk-UA"/>
        </w:rPr>
        <w:t xml:space="preserve"> 2022 р. № 935.</w:t>
      </w:r>
    </w:p>
    <w:p>
      <w:pPr>
        <w:pStyle w:val="P1"/>
        <w:spacing w:lineRule="auto" w:line="240" w:after="0"/>
        <w:ind w:firstLine="567"/>
        <w:jc w:val="both"/>
        <w:rPr>
          <w:rFonts w:ascii="Times" w:hAnsi="Times"/>
          <w:smallCaps w:val="0"/>
          <w:sz w:val="26"/>
          <w:szCs w:val="22"/>
          <w:cs w:val="0"/>
          <w:spacing w:val="0"/>
          <w:w w:val="100"/>
          <w:position w:val="0"/>
          <w:snapToGrid w:val="1"/>
          <w:lang w:val="uk-UA"/>
        </w:rPr>
      </w:pPr>
      <w:r>
        <w:rPr>
          <w:rFonts w:ascii="Times" w:hAnsi="Times"/>
          <w:smallCaps w:val="0"/>
          <w:sz w:val="26"/>
          <w:szCs w:val="22"/>
          <w:cs w:val="0"/>
          <w:spacing w:val="0"/>
          <w:w w:val="100"/>
          <w:position w:val="0"/>
          <w:snapToGrid w:val="1"/>
          <w:lang w:val="uk-UA"/>
        </w:rPr>
        <w:t>Разом з тим, встановлення постійних намогильних споруд визначеного зразка буде здійснюватися на могилах загиблих Захисників, які захищали незалежність, суверенітет та територіальну цілісність України, орієнтовно через рік після здійснення поховання. Протягом року процес ущільнення ґрунту здебільшого завершується, і встановлення надмогильної споруди стає безпечним, оскільки ризик її зміщення мінімізується.</w:t>
      </w:r>
    </w:p>
    <w:p>
      <w:pPr>
        <w:pStyle w:val="P1"/>
        <w:spacing w:lineRule="auto" w:line="240" w:after="0"/>
        <w:ind w:firstLine="567"/>
        <w:jc w:val="both"/>
        <w:rPr>
          <w:rFonts w:ascii="Times" w:hAnsi="Times"/>
          <w:smallCaps w:val="0"/>
          <w:sz w:val="26"/>
          <w:szCs w:val="22"/>
          <w:cs w:val="0"/>
          <w:spacing w:val="0"/>
          <w:w w:val="100"/>
          <w:position w:val="0"/>
          <w:snapToGrid w:val="1"/>
          <w:lang w:val="uk-UA"/>
        </w:rPr>
      </w:pPr>
      <w:r>
        <w:rPr>
          <w:rFonts w:ascii="Times" w:hAnsi="Times"/>
          <w:smallCaps w:val="0"/>
          <w:sz w:val="26"/>
          <w:szCs w:val="22"/>
          <w:cs w:val="0"/>
          <w:spacing w:val="0"/>
          <w:w w:val="100"/>
          <w:position w:val="0"/>
          <w:snapToGrid w:val="1"/>
          <w:lang w:val="uk-UA"/>
        </w:rPr>
        <w:t>Т</w:t>
      </w:r>
      <w:r>
        <w:rPr>
          <w:rFonts w:ascii="Times" w:hAnsi="Times"/>
          <w:smallCaps w:val="0"/>
          <w:sz w:val="26"/>
          <w:szCs w:val="22"/>
          <w:cs w:val="0"/>
          <w:spacing w:val="0"/>
          <w:w w:val="100"/>
          <w:position w:val="0"/>
          <w:snapToGrid w:val="1"/>
          <w:lang w:val="uk-UA"/>
        </w:rPr>
        <w:t>ому з метою утримання в належному стані території Національного військового меморіального кладовища та єдиних уніфікованих підходів до облаштування секторів почесних поховань, потребує унормування питання встановлення кенотафів.</w:t>
      </w:r>
      <w:r>
        <w:rPr>
          <w:rFonts w:ascii="Times New Roman" w:hAnsi="Times New Roman"/>
          <w:smallCaps w:val="0"/>
          <w:sz w:val="26"/>
          <w:szCs w:val="22"/>
          <w:cs w:val="0"/>
          <w:spacing w:val="0"/>
          <w:w w:val="100"/>
          <w:position w:val="0"/>
          <w:snapToGrid w:val="1"/>
          <w:lang w:val="uk-UA"/>
        </w:rPr>
        <w:t xml:space="preserve"> </w:t>
      </w:r>
      <w:r>
        <w:rPr>
          <w:rFonts w:ascii="Times" w:hAnsi="Times"/>
          <w:smallCaps w:val="0"/>
          <w:sz w:val="26"/>
          <w:szCs w:val="22"/>
          <w:cs w:val="0"/>
          <w:spacing w:val="0"/>
          <w:w w:val="100"/>
          <w:position w:val="0"/>
          <w:snapToGrid w:val="1"/>
          <w:lang w:val="uk-UA"/>
        </w:rPr>
        <w:t xml:space="preserve">Проектом запропоновано визначити порядок встановлення кенотафів саме на Національному військовому меморіальному кладовищі через рік після дати першого поховання на ньому, адже для виготовлення намогильних споруд, встановленого Кабінетом Міністрів України зразка, необхідно проводити публічні закупівлі, що потребує значного проміжку часу. </w:t>
      </w:r>
    </w:p>
    <w:p>
      <w:pPr>
        <w:pStyle w:val="P1"/>
        <w:spacing w:lineRule="auto" w:line="240" w:after="0"/>
        <w:ind w:firstLine="567"/>
        <w:jc w:val="both"/>
        <w:rPr>
          <w:rFonts w:ascii="Times New Roman" w:hAnsi="Times New Roman"/>
          <w:color w:val="000000"/>
          <w:sz w:val="16"/>
          <w:szCs w:val="26"/>
          <w:lang w:val="uk-UA"/>
        </w:rPr>
      </w:pPr>
      <w:r>
        <w:rPr>
          <w:rFonts w:ascii="Times New Roman" w:hAnsi="Times New Roman"/>
          <w:smallCaps w:val="0"/>
          <w:sz w:val="26"/>
          <w:szCs w:val="22"/>
          <w:cs w:val="0"/>
          <w:spacing w:val="0"/>
          <w:w w:val="100"/>
          <w:position w:val="0"/>
          <w:snapToGrid w:val="1"/>
          <w:lang w:val="uk-UA"/>
        </w:rPr>
        <w:t xml:space="preserve"> </w:t>
      </w:r>
      <w:r>
        <w:rPr>
          <w:rFonts w:ascii="Times New Roman" w:hAnsi="Times New Roman"/>
          <w:smallCaps w:val="0"/>
          <w:sz w:val="16"/>
          <w:szCs w:val="22"/>
          <w:cs w:val="0"/>
          <w:spacing w:val="0"/>
          <w:w w:val="100"/>
          <w:position w:val="0"/>
          <w:snapToGrid w:val="1"/>
          <w:lang w:val="uk-UA"/>
        </w:rPr>
        <w:t xml:space="preserve"> 
</w:t>
      </w:r>
    </w:p>
    <w:p>
      <w:pPr>
        <w:pStyle w:val="P1"/>
        <w:spacing w:lineRule="auto" w:line="240" w:after="0"/>
        <w:ind w:firstLine="567"/>
        <w:jc w:val="both"/>
        <w:rPr>
          <w:rFonts w:ascii="Times New Roman" w:hAnsi="Times New Roman"/>
          <w:b w:val="1"/>
          <w:bCs w:val="1"/>
          <w:sz w:val="26"/>
          <w:szCs w:val="26"/>
          <w:lang w:val="uk-UA"/>
        </w:rPr>
      </w:pPr>
      <w:r>
        <w:rPr>
          <w:rFonts w:ascii="Times New Roman" w:hAnsi="Times New Roman"/>
          <w:b w:val="1"/>
          <w:bCs w:val="1"/>
          <w:sz w:val="26"/>
          <w:szCs w:val="26"/>
          <w:lang w:val="uk-UA"/>
        </w:rPr>
        <w:t>3. Основні положення проєкту акта</w:t>
      </w:r>
    </w:p>
    <w:p>
      <w:pPr>
        <w:pStyle w:val="P1"/>
        <w:spacing w:lineRule="auto" w:line="240" w:after="0"/>
        <w:ind w:firstLine="567"/>
        <w:jc w:val="both"/>
        <w:rPr>
          <w:rFonts w:ascii="Times New Roman" w:hAnsi="Times New Roman"/>
          <w:sz w:val="26"/>
          <w:szCs w:val="26"/>
          <w:lang w:val="uk-UA"/>
        </w:rPr>
      </w:pPr>
      <w:bookmarkStart w:id="0" w:name="_Hlk31207532"/>
      <w:r>
        <w:rPr>
          <w:rFonts w:ascii="Times New Roman" w:hAnsi="Times New Roman"/>
          <w:sz w:val="26"/>
          <w:szCs w:val="26"/>
          <w:lang w:val="uk-UA"/>
        </w:rPr>
        <w:t xml:space="preserve">Проєкт акта передбачає внесення змін до </w:t>
      </w:r>
      <w:r>
        <w:rPr>
          <w:rFonts w:ascii="Times New Roman" w:hAnsi="Times New Roman"/>
          <w:color w:val="000000"/>
          <w:sz w:val="26"/>
          <w:szCs w:val="26"/>
          <w:lang w:val="uk-UA"/>
        </w:rPr>
        <w:t xml:space="preserve">Порядку розміщення кенотафів особам, які захищали незалежність, суверенітет та територіальну цілісність України, з числа осіб, які судом оголошені померлими, на території кладовищ, затвердженого постановою Кабінету Міністрів України від 22 листопада 2024 р. № 1373, в частині доповнення щодо можливостей встановлення кенотафів </w:t>
      </w:r>
      <w:r>
        <w:rPr>
          <w:rFonts w:ascii="Times New Roman" w:hAnsi="Times New Roman"/>
          <w:sz w:val="26"/>
          <w:szCs w:val="26"/>
          <w:lang w:val="uk-UA"/>
        </w:rPr>
        <w:t>не раніше ніж через рік після дати першого поховання на території Національного військового меморіального кладовища.</w:t>
      </w:r>
    </w:p>
    <w:p>
      <w:pPr>
        <w:pStyle w:val="P1"/>
        <w:spacing w:lineRule="auto" w:line="240" w:after="0"/>
        <w:ind w:firstLine="567"/>
        <w:jc w:val="both"/>
        <w:rPr>
          <w:rFonts w:ascii="Times New Roman" w:hAnsi="Times New Roman"/>
          <w:sz w:val="16"/>
          <w:szCs w:val="26"/>
          <w:lang w:val="uk-UA"/>
        </w:rPr>
      </w:pPr>
    </w:p>
    <w:p>
      <w:pPr>
        <w:pStyle w:val="P8"/>
        <w:shd w:val="clear" w:fill="FFFFFF"/>
        <w:spacing w:before="0" w:after="0" w:beforeAutospacing="0" w:afterAutospacing="0"/>
        <w:ind w:firstLine="567"/>
        <w:jc w:val="both"/>
        <w:rPr>
          <w:b w:val="1"/>
          <w:bCs w:val="1"/>
          <w:sz w:val="26"/>
          <w:szCs w:val="26"/>
        </w:rPr>
      </w:pPr>
      <w:r>
        <w:rPr>
          <w:b w:val="1"/>
          <w:bCs w:val="1"/>
          <w:sz w:val="26"/>
          <w:szCs w:val="26"/>
        </w:rPr>
        <w:t>4. Правові аспекти</w:t>
      </w:r>
    </w:p>
    <w:p>
      <w:pPr>
        <w:pStyle w:val="P8"/>
        <w:shd w:val="clear" w:fill="FFFFFF"/>
        <w:spacing w:before="0" w:after="0" w:beforeAutospacing="0" w:afterAutospacing="0"/>
        <w:ind w:firstLine="567"/>
        <w:jc w:val="both"/>
        <w:rPr>
          <w:sz w:val="26"/>
          <w:szCs w:val="26"/>
        </w:rPr>
      </w:pPr>
      <w:r>
        <w:rPr>
          <w:sz w:val="26"/>
          <w:szCs w:val="26"/>
        </w:rPr>
        <w:t>Закон України “Про поховання та похоронну справу”, Положення про Міністерство у справах ветеранів України, затверджене постановою Кабінету Міністрів України від 27 грудня 2018 р. № 1175 (в редакції постанови Кабінету Міністрів України від 15 квітня 2020 р. № 276).</w:t>
      </w:r>
    </w:p>
    <w:p>
      <w:pPr>
        <w:pStyle w:val="P8"/>
        <w:shd w:val="clear" w:fill="FFFFFF"/>
        <w:spacing w:before="0" w:after="0" w:beforeAutospacing="0" w:afterAutospacing="0"/>
        <w:ind w:firstLine="567"/>
        <w:jc w:val="both"/>
        <w:rPr>
          <w:sz w:val="16"/>
          <w:szCs w:val="26"/>
        </w:rPr>
      </w:pPr>
    </w:p>
    <w:p>
      <w:pPr>
        <w:pStyle w:val="P3"/>
        <w:spacing w:before="0" w:after="0" w:beforeAutospacing="0" w:afterAutospacing="0"/>
        <w:ind w:firstLine="567"/>
        <w:jc w:val="both"/>
        <w:rPr>
          <w:sz w:val="26"/>
          <w:szCs w:val="26"/>
          <w:lang w:val="uk-UA"/>
        </w:rPr>
      </w:pPr>
      <w:bookmarkEnd w:id="0"/>
      <w:r>
        <w:rPr>
          <w:sz w:val="26"/>
          <w:szCs w:val="26"/>
          <w:lang w:val="uk-UA"/>
        </w:rPr>
        <w:t>5. Фінансово-економічне обґрунтування</w:t>
      </w:r>
    </w:p>
    <w:p>
      <w:pPr>
        <w:pStyle w:val="P1"/>
        <w:spacing w:lineRule="auto" w:line="240" w:after="0"/>
        <w:ind w:firstLine="567"/>
        <w:jc w:val="both"/>
        <w:rPr>
          <w:rFonts w:ascii="Times New Roman" w:hAnsi="Times New Roman"/>
          <w:sz w:val="26"/>
          <w:szCs w:val="26"/>
          <w:lang w:val="uk-UA"/>
        </w:rPr>
      </w:pPr>
      <w:r>
        <w:rPr>
          <w:rFonts w:ascii="Times New Roman" w:hAnsi="Times New Roman"/>
          <w:sz w:val="26"/>
          <w:szCs w:val="26"/>
          <w:lang w:val="uk-UA"/>
        </w:rPr>
        <w:t>Реалізація проєкту акта не потребує фінансування з державного бюджету.</w:t>
      </w:r>
    </w:p>
    <w:p>
      <w:pPr>
        <w:pStyle w:val="P3"/>
        <w:spacing w:before="0" w:after="0" w:beforeAutospacing="0" w:afterAutospacing="0"/>
        <w:ind w:firstLine="567"/>
        <w:jc w:val="both"/>
        <w:rPr>
          <w:sz w:val="16"/>
          <w:szCs w:val="26"/>
          <w:lang w:val="uk-UA"/>
        </w:rPr>
      </w:pPr>
    </w:p>
    <w:p>
      <w:pPr>
        <w:pStyle w:val="P3"/>
        <w:spacing w:before="0" w:after="0" w:beforeAutospacing="0" w:afterAutospacing="0"/>
        <w:ind w:firstLine="567"/>
        <w:jc w:val="both"/>
        <w:rPr>
          <w:sz w:val="26"/>
          <w:szCs w:val="26"/>
          <w:lang w:val="uk-UA"/>
        </w:rPr>
      </w:pPr>
      <w:r>
        <w:rPr>
          <w:sz w:val="26"/>
          <w:szCs w:val="26"/>
          <w:lang w:val="uk-UA"/>
        </w:rPr>
        <w:t>6. Позиція заінтересованих сторін</w:t>
      </w:r>
    </w:p>
    <w:p>
      <w:pPr>
        <w:pStyle w:val="P1"/>
        <w:spacing w:lineRule="auto" w:line="240" w:after="0"/>
        <w:ind w:firstLine="567"/>
        <w:jc w:val="both"/>
        <w:rPr>
          <w:rFonts w:ascii="Times New Roman" w:hAnsi="Times New Roman"/>
          <w:color w:val="000000"/>
          <w:sz w:val="26"/>
          <w:szCs w:val="26"/>
          <w:lang w:val="uk-UA"/>
        </w:rPr>
      </w:pPr>
      <w:r>
        <w:rPr>
          <w:rFonts w:ascii="Times New Roman" w:hAnsi="Times New Roman"/>
          <w:color w:val="000000"/>
          <w:sz w:val="26"/>
          <w:szCs w:val="26"/>
          <w:lang w:val="uk-UA"/>
        </w:rPr>
        <w:t>Проєкт акта потребує погодження Мінфіном, Мінекономіки, Мінцифри, а також потребує проведення правової експертизи Мін’юстом.</w:t>
      </w:r>
    </w:p>
    <w:p>
      <w:pPr>
        <w:pStyle w:val="P1"/>
        <w:spacing w:lineRule="auto" w:line="240" w:after="0"/>
        <w:ind w:firstLine="567"/>
        <w:jc w:val="both"/>
        <w:rPr>
          <w:rFonts w:ascii="Times New Roman" w:hAnsi="Times New Roman"/>
          <w:color w:val="000000"/>
          <w:sz w:val="26"/>
          <w:szCs w:val="26"/>
          <w:lang w:val="uk-UA"/>
        </w:rPr>
      </w:pPr>
      <w:r>
        <w:rPr>
          <w:rFonts w:ascii="Times New Roman" w:hAnsi="Times New Roman"/>
          <w:color w:val="000000"/>
          <w:sz w:val="26"/>
          <w:szCs w:val="26"/>
          <w:lang w:val="uk-UA"/>
        </w:rPr>
        <w:t>Публічні консультації з громадськістю будуть проведені у формі електронних консультацій на офіційному вебсайті Мінветеранів відповідно до вимог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3 листопада 2010 р. № 996.</w:t>
      </w:r>
    </w:p>
    <w:p>
      <w:pPr>
        <w:pStyle w:val="P1"/>
        <w:spacing w:lineRule="auto" w:line="240" w:after="0"/>
        <w:ind w:firstLine="567"/>
        <w:jc w:val="both"/>
        <w:rPr>
          <w:rFonts w:ascii="Times New Roman" w:hAnsi="Times New Roman"/>
          <w:color w:val="000000"/>
          <w:sz w:val="26"/>
          <w:szCs w:val="26"/>
          <w:shd w:val="clear" w:color="auto" w:fill="FFFFFF"/>
          <w:lang w:val="uk-UA"/>
        </w:rPr>
      </w:pPr>
      <w:r>
        <w:rPr>
          <w:rFonts w:ascii="Times New Roman" w:hAnsi="Times New Roman"/>
          <w:color w:val="000000"/>
          <w:sz w:val="26"/>
          <w:szCs w:val="26"/>
          <w:shd w:val="clear" w:color="auto" w:fill="FFFFFF"/>
          <w:lang w:val="uk-UA"/>
        </w:rPr>
        <w:t>Проєкт акта не стосується питань функціонування місцевого самоврядування, прав та інтересів територіальних громад, соціально-трудової сфери, прав осіб з інвалідністю, функціонування і застосування української мови як державної, сфери наукової та науково-технічної діяльності.</w:t>
      </w:r>
    </w:p>
    <w:p>
      <w:pPr>
        <w:pStyle w:val="P3"/>
        <w:spacing w:before="0" w:after="0" w:beforeAutospacing="0" w:afterAutospacing="0"/>
        <w:ind w:firstLine="567"/>
        <w:jc w:val="both"/>
        <w:rPr>
          <w:sz w:val="16"/>
          <w:szCs w:val="26"/>
          <w:lang w:val="uk-UA"/>
        </w:rPr>
      </w:pPr>
    </w:p>
    <w:p>
      <w:pPr>
        <w:pStyle w:val="P3"/>
        <w:spacing w:before="0" w:after="0" w:beforeAutospacing="0" w:afterAutospacing="0"/>
        <w:ind w:firstLine="567"/>
        <w:jc w:val="both"/>
        <w:rPr>
          <w:sz w:val="26"/>
          <w:szCs w:val="26"/>
          <w:lang w:val="uk-UA"/>
        </w:rPr>
      </w:pPr>
      <w:r>
        <w:rPr>
          <w:sz w:val="26"/>
          <w:szCs w:val="26"/>
          <w:lang w:val="uk-UA"/>
        </w:rPr>
        <w:t>7. Оцінка відповідності</w:t>
      </w:r>
    </w:p>
    <w:p>
      <w:pPr>
        <w:pStyle w:val="P3"/>
        <w:spacing w:before="0" w:after="0" w:beforeAutospacing="0" w:afterAutospacing="0"/>
        <w:ind w:firstLine="567"/>
        <w:jc w:val="both"/>
        <w:rPr>
          <w:b w:val="1"/>
          <w:bCs w:val="1"/>
          <w:color w:val="000000"/>
          <w:sz w:val="26"/>
          <w:szCs w:val="26"/>
          <w:lang w:val="uk-UA"/>
        </w:rPr>
      </w:pPr>
      <w:r>
        <w:rPr>
          <w:b w:val="0"/>
          <w:bCs w:val="0"/>
          <w:color w:val="000000"/>
          <w:sz w:val="26"/>
          <w:szCs w:val="26"/>
          <w:lang w:val="uk-UA"/>
        </w:rPr>
        <w:t>Проєкт акта не містить положень, що стосуються</w:t>
      </w:r>
      <w:r>
        <w:rPr>
          <w:color w:val="000000"/>
          <w:sz w:val="26"/>
          <w:szCs w:val="26"/>
          <w:lang w:val="uk-UA"/>
        </w:rPr>
        <w:t xml:space="preserve"> </w:t>
      </w:r>
      <w:r>
        <w:rPr>
          <w:b w:val="0"/>
          <w:bCs w:val="0"/>
          <w:color w:val="000000"/>
          <w:sz w:val="26"/>
          <w:szCs w:val="26"/>
          <w:lang w:val="uk-UA"/>
        </w:rPr>
        <w:t>зобов</w:t>
      </w:r>
      <w:r>
        <w:rPr>
          <w:b w:val="0"/>
          <w:bCs w:val="0"/>
          <w:color w:val="000000"/>
          <w:sz w:val="26"/>
          <w:szCs w:val="26"/>
          <w:lang w:val="uk-UA"/>
        </w:rPr>
        <w:t>’</w:t>
      </w:r>
      <w:r>
        <w:rPr>
          <w:b w:val="0"/>
          <w:bCs w:val="0"/>
          <w:color w:val="000000"/>
          <w:sz w:val="26"/>
          <w:szCs w:val="26"/>
          <w:lang w:val="uk-UA"/>
        </w:rPr>
        <w:t xml:space="preserve">язань України у сфері європейської інтеграції,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містять ризики вчинення корупційних правопорушень та правопорушень, пов’язаних з корупцією, створюють підстави для дискримінації, стосуються інших ризиків та обмежень, які можуть виникнути під час реалізації акта. </w:t>
      </w:r>
    </w:p>
    <w:p>
      <w:pPr>
        <w:pStyle w:val="P8"/>
        <w:shd w:val="clear" w:fill="FFFFFF"/>
        <w:tabs>
          <w:tab w:val="left" w:pos="1320" w:leader="none"/>
        </w:tabs>
        <w:spacing w:before="0" w:after="0" w:beforeAutospacing="0" w:afterAutospacing="0"/>
        <w:ind w:firstLine="567"/>
        <w:jc w:val="both"/>
        <w:rPr>
          <w:color w:val="000000"/>
          <w:sz w:val="26"/>
          <w:szCs w:val="26"/>
        </w:rPr>
      </w:pPr>
      <w:r>
        <w:rPr>
          <w:color w:val="000000"/>
          <w:sz w:val="26"/>
          <w:szCs w:val="26"/>
        </w:rPr>
        <w:t>Громадська антикорупційна, громадська антидискримінаційна та громадська гендерно-правова експертиза не проводилися.</w:t>
      </w:r>
    </w:p>
    <w:p>
      <w:pPr>
        <w:pStyle w:val="P3"/>
        <w:spacing w:before="0" w:after="0" w:beforeAutospacing="0" w:afterAutospacing="0"/>
        <w:ind w:firstLine="567"/>
        <w:jc w:val="both"/>
        <w:rPr>
          <w:sz w:val="16"/>
          <w:szCs w:val="26"/>
          <w:lang w:val="uk-UA"/>
        </w:rPr>
      </w:pPr>
    </w:p>
    <w:p>
      <w:pPr>
        <w:pStyle w:val="P3"/>
        <w:spacing w:before="0" w:after="0" w:beforeAutospacing="0" w:afterAutospacing="0"/>
        <w:ind w:firstLine="567"/>
        <w:jc w:val="both"/>
        <w:rPr>
          <w:sz w:val="26"/>
          <w:szCs w:val="26"/>
          <w:lang w:val="uk-UA"/>
        </w:rPr>
      </w:pPr>
      <w:r>
        <w:rPr>
          <w:sz w:val="26"/>
          <w:szCs w:val="26"/>
          <w:lang w:val="uk-UA"/>
        </w:rPr>
        <w:t>8. Прогноз результатів</w:t>
      </w:r>
    </w:p>
    <w:p>
      <w:pPr>
        <w:pStyle w:val="P1"/>
        <w:spacing w:lineRule="auto" w:line="240" w:after="0"/>
        <w:ind w:firstLine="567"/>
        <w:jc w:val="both"/>
        <w:rPr>
          <w:rFonts w:ascii="Times New Roman" w:hAnsi="Times New Roman"/>
          <w:color w:val="000000"/>
          <w:sz w:val="26"/>
          <w:szCs w:val="26"/>
          <w:lang w:val="uk-UA"/>
        </w:rPr>
      </w:pPr>
      <w:r>
        <w:rPr>
          <w:rFonts w:ascii="Times New Roman" w:hAnsi="Times New Roman"/>
          <w:color w:val="000000"/>
          <w:sz w:val="26"/>
          <w:szCs w:val="26"/>
          <w:lang w:val="uk-UA"/>
        </w:rPr>
        <w:t>Прийняття проєкту акта сприятиме організації розміщення кенотафів на території Національного військового меморіального кладовища.</w:t>
      </w:r>
    </w:p>
    <w:p>
      <w:pPr>
        <w:pStyle w:val="P3"/>
        <w:spacing w:before="0" w:after="0" w:beforeAutospacing="0" w:afterAutospacing="0"/>
        <w:ind w:firstLine="567"/>
        <w:jc w:val="both"/>
        <w:rPr>
          <w:b w:val="1"/>
          <w:bCs w:val="1"/>
          <w:color w:val="000000"/>
          <w:sz w:val="26"/>
          <w:szCs w:val="26"/>
          <w:lang w:val="uk-UA"/>
        </w:rPr>
      </w:pPr>
      <w:r>
        <w:rPr>
          <w:b w:val="0"/>
          <w:bCs w:val="0"/>
          <w:color w:val="000000"/>
          <w:sz w:val="26"/>
          <w:szCs w:val="26"/>
          <w:lang w:val="uk-UA"/>
        </w:rPr>
        <w:t>Реалізація проєкту акта не матиме вплив на ринкове середовище, забезпечення захисту прав та інтересів суб</w:t>
      </w:r>
      <w:r>
        <w:rPr>
          <w:b w:val="0"/>
          <w:bCs w:val="0"/>
          <w:color w:val="000000"/>
          <w:sz w:val="26"/>
          <w:szCs w:val="26"/>
          <w:lang w:val="uk-UA"/>
        </w:rPr>
        <w:t>’</w:t>
      </w:r>
      <w:r>
        <w:rPr>
          <w:b w:val="0"/>
          <w:bCs w:val="0"/>
          <w:color w:val="000000"/>
          <w:sz w:val="26"/>
          <w:szCs w:val="26"/>
          <w:lang w:val="uk-UA"/>
        </w:rPr>
        <w:t>єктів господарювання, громад</w:t>
      </w:r>
      <w:r>
        <w:rPr>
          <w:b w:val="0"/>
          <w:bCs w:val="0"/>
          <w:color w:val="000000"/>
          <w:sz w:val="26"/>
          <w:szCs w:val="26"/>
          <w:lang w:val="uk-UA"/>
        </w:rPr>
        <w:t>ян і держави;</w:t>
      </w:r>
      <w:r>
        <w:rPr>
          <w:b w:val="0"/>
          <w:bCs w:val="0"/>
          <w:color w:val="000000"/>
          <w:sz w:val="26"/>
          <w:szCs w:val="26"/>
          <w:lang w:val="uk-UA"/>
        </w:rPr>
        <w:t xml:space="preserve"> </w:t>
      </w:r>
      <w:r>
        <w:rPr>
          <w:b w:val="0"/>
          <w:bCs w:val="0"/>
          <w:color w:val="000000"/>
          <w:sz w:val="26"/>
          <w:szCs w:val="26"/>
          <w:lang w:val="uk-UA"/>
        </w:rPr>
        <w:t xml:space="preserve">розвиток регіонів, </w:t>
      </w:r>
      <w:r>
        <w:rPr>
          <w:b w:val="0"/>
          <w:bCs w:val="0"/>
          <w:color w:val="000000"/>
          <w:sz w:val="26"/>
          <w:szCs w:val="26"/>
          <w:lang w:val="uk-UA"/>
        </w:rPr>
        <w:t>підвищення чи зниження спроможності територіальних громад; ринок праці, рівень зайнятості населення; громадське здоров</w:t>
      </w:r>
      <w:r>
        <w:rPr>
          <w:b w:val="0"/>
          <w:bCs w:val="0"/>
          <w:color w:val="000000"/>
          <w:sz w:val="26"/>
          <w:szCs w:val="26"/>
          <w:lang w:val="uk-UA"/>
        </w:rPr>
        <w:t>’</w:t>
      </w:r>
      <w:r>
        <w:rPr>
          <w:b w:val="0"/>
          <w:bCs w:val="0"/>
          <w:color w:val="000000"/>
          <w:sz w:val="26"/>
          <w:szCs w:val="26"/>
          <w:lang w:val="uk-UA"/>
        </w:rPr>
        <w:t>я, покращення чи погіршення стану здоров</w:t>
      </w:r>
      <w:r>
        <w:rPr>
          <w:b w:val="0"/>
          <w:bCs w:val="0"/>
          <w:color w:val="000000"/>
          <w:sz w:val="26"/>
          <w:szCs w:val="26"/>
          <w:lang w:val="uk-UA"/>
        </w:rPr>
        <w:t>’</w:t>
      </w:r>
      <w:r>
        <w:rPr>
          <w:b w:val="0"/>
          <w:bCs w:val="0"/>
          <w:color w:val="000000"/>
          <w:sz w:val="26"/>
          <w:szCs w:val="26"/>
          <w:lang w:val="uk-UA"/>
        </w:rPr>
        <w:t>я населення або його окремих гру</w:t>
      </w:r>
      <w:r>
        <w:rPr>
          <w:b w:val="0"/>
          <w:bCs w:val="0"/>
          <w:color w:val="000000"/>
          <w:sz w:val="26"/>
          <w:szCs w:val="26"/>
          <w:lang w:val="uk-UA"/>
        </w:rPr>
        <w:t>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w:t>
      </w:r>
    </w:p>
    <w:p>
      <w:pPr>
        <w:pStyle w:val="P1"/>
        <w:spacing w:lineRule="auto" w:line="240" w:after="0"/>
        <w:jc w:val="both"/>
        <w:rPr>
          <w:rFonts w:ascii="Times New Roman" w:hAnsi="Times New Roman"/>
          <w:sz w:val="16"/>
          <w:szCs w:val="26"/>
          <w:lang w:val="uk-UA"/>
        </w:rPr>
      </w:pPr>
    </w:p>
    <w:p>
      <w:pPr>
        <w:pStyle w:val="P1"/>
        <w:spacing w:lineRule="auto" w:line="240" w:after="0"/>
        <w:jc w:val="both"/>
        <w:rPr>
          <w:rFonts w:ascii="Times New Roman" w:hAnsi="Times New Roman"/>
          <w:sz w:val="26"/>
          <w:szCs w:val="26"/>
          <w:lang w:val="uk-UA"/>
        </w:rPr>
      </w:pPr>
    </w:p>
    <w:p>
      <w:pPr>
        <w:pStyle w:val="P1"/>
        <w:tabs>
          <w:tab w:val="left" w:pos="7088" w:leader="none"/>
        </w:tabs>
        <w:spacing w:lineRule="auto" w:line="240" w:after="0"/>
        <w:jc w:val="both"/>
        <w:rPr>
          <w:rFonts w:ascii="Times New Roman" w:hAnsi="Times New Roman"/>
          <w:b w:val="1"/>
          <w:bCs w:val="1"/>
          <w:sz w:val="26"/>
          <w:szCs w:val="26"/>
          <w:lang w:val="uk-UA"/>
        </w:rPr>
      </w:pPr>
      <w:r>
        <w:rPr>
          <w:rFonts w:ascii="Times New Roman" w:hAnsi="Times New Roman"/>
          <w:b w:val="1"/>
          <w:bCs w:val="1"/>
          <w:sz w:val="26"/>
          <w:szCs w:val="26"/>
          <w:lang w:val="uk-UA"/>
        </w:rPr>
        <w:t xml:space="preserve">Міністр </w:t>
      </w:r>
      <w:r>
        <w:rPr>
          <w:rFonts w:ascii="Times New Roman" w:hAnsi="Times New Roman"/>
          <w:b w:val="1"/>
          <w:bCs w:val="1"/>
          <w:sz w:val="26"/>
          <w:szCs w:val="26"/>
          <w:lang w:val="uk-UA"/>
        </w:rPr>
        <w:t>у справах</w:t>
      </w:r>
    </w:p>
    <w:p>
      <w:pPr>
        <w:pStyle w:val="P1"/>
        <w:tabs>
          <w:tab w:val="left" w:pos="7088" w:leader="none"/>
        </w:tabs>
        <w:spacing w:lineRule="auto" w:line="240" w:after="0"/>
        <w:jc w:val="both"/>
        <w:rPr>
          <w:rFonts w:ascii="Times New Roman" w:hAnsi="Times New Roman"/>
          <w:b w:val="1"/>
          <w:bCs w:val="1"/>
          <w:sz w:val="26"/>
          <w:szCs w:val="26"/>
          <w:lang w:val="uk-UA"/>
        </w:rPr>
      </w:pPr>
      <w:r>
        <w:rPr>
          <w:rFonts w:ascii="Times New Roman" w:hAnsi="Times New Roman"/>
          <w:b w:val="1"/>
          <w:bCs w:val="1"/>
          <w:sz w:val="26"/>
          <w:szCs w:val="26"/>
          <w:lang w:val="uk-UA"/>
        </w:rPr>
        <w:t>ветеранів України</w:t>
      </w:r>
      <w:r>
        <w:rPr>
          <w:rFonts w:ascii="Times New Roman" w:hAnsi="Times New Roman"/>
          <w:b w:val="1"/>
          <w:bCs w:val="1"/>
          <w:sz w:val="26"/>
          <w:szCs w:val="26"/>
          <w:lang w:val="uk-UA"/>
        </w:rPr>
        <w:t xml:space="preserve">         </w:t>
      </w:r>
      <w:r>
        <w:rPr>
          <w:rFonts w:ascii="Times New Roman" w:hAnsi="Times New Roman"/>
          <w:b w:val="1"/>
          <w:bCs w:val="1"/>
          <w:sz w:val="26"/>
          <w:szCs w:val="26"/>
          <w:lang w:val="uk-UA"/>
        </w:rPr>
        <w:t xml:space="preserve">                                         </w:t>
      </w:r>
      <w:r>
        <w:rPr>
          <w:rFonts w:ascii="Times New Roman" w:hAnsi="Times New Roman"/>
          <w:b w:val="1"/>
          <w:bCs w:val="1"/>
          <w:sz w:val="26"/>
          <w:szCs w:val="26"/>
          <w:lang w:val="uk-UA"/>
        </w:rPr>
        <w:t xml:space="preserve">       </w:t>
      </w:r>
      <w:r>
        <w:rPr>
          <w:rFonts w:ascii="Times New Roman" w:hAnsi="Times New Roman"/>
          <w:b w:val="1"/>
          <w:bCs w:val="1"/>
          <w:sz w:val="26"/>
          <w:szCs w:val="26"/>
          <w:lang w:val="uk-UA"/>
        </w:rPr>
        <w:t xml:space="preserve">           </w:t>
      </w:r>
      <w:r>
        <w:rPr>
          <w:rFonts w:ascii="Times New Roman" w:hAnsi="Times New Roman"/>
          <w:b w:val="1"/>
          <w:bCs w:val="1"/>
          <w:sz w:val="26"/>
          <w:szCs w:val="26"/>
          <w:lang w:val="uk-UA"/>
        </w:rPr>
        <w:t>Наталія КАЛМИКОВА</w:t>
      </w:r>
    </w:p>
    <w:p>
      <w:pPr>
        <w:pStyle w:val="P1"/>
        <w:spacing w:lineRule="auto" w:line="240" w:after="0"/>
        <w:jc w:val="both"/>
        <w:rPr>
          <w:rFonts w:ascii="Times New Roman" w:hAnsi="Times New Roman"/>
          <w:sz w:val="26"/>
          <w:szCs w:val="26"/>
          <w:lang w:val="uk-UA"/>
        </w:rPr>
      </w:pPr>
      <w:r>
        <w:rPr>
          <w:rFonts w:ascii="Times New Roman" w:hAnsi="Times New Roman"/>
          <w:sz w:val="26"/>
          <w:szCs w:val="26"/>
          <w:lang w:val="uk-UA"/>
        </w:rPr>
        <w:t xml:space="preserve">“___”  ___________ 2025 р.</w:t>
      </w:r>
    </w:p>
    <w:sectPr>
      <w:headerReference xmlns:r="http://schemas.openxmlformats.org/officeDocument/2006/relationships" w:type="default" r:id="RelHdr1"/>
      <w:footnotePr/>
      <w:endnotePr/>
      <w:type w:val="nextPage"/>
      <w:pgSz w:w="11906" w:h="16838" w:code="0"/>
      <w:pgMar w:left="1701" w:right="567" w:top="1134" w:bottom="1418" w:header="567" w:footer="709" w:gutter="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pStyle w:val="P1"/>
        <w:spacing w:lineRule="auto" w:line="240" w:after="0"/>
      </w:pPr>
    </w:p>
  </w:endnote>
  <w:endnote w:type="continuationSeparator" w:id="0">
    <w:p>
      <w:pPr>
        <w:pStyle w:val="P1"/>
        <w:spacing w:lineRule="auto" w:line="240" w:after="0"/>
      </w:pPr>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pStyle w:val="P1"/>
        <w:spacing w:lineRule="auto" w:line="240" w:after="0"/>
      </w:pPr>
    </w:p>
  </w:footnote>
  <w:footnote w:type="continuationSeparator" w:id="0">
    <w:p>
      <w:pPr>
        <w:pStyle w:val="P1"/>
        <w:spacing w:lineRule="auto" w:line="240" w:after="0"/>
      </w:pP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4"/>
      <w:spacing w:lineRule="auto" w:line="240" w:after="0"/>
      <w:jc w:val="cente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rPr>
      <w:t>#</w:t>
    </w:r>
    <w:r>
      <w:rPr>
        <w:rFonts w:ascii="Times New Roman" w:hAnsi="Times New Roman"/>
        <w:sz w:val="28"/>
        <w:szCs w:val="28"/>
      </w:rPr>
      <w:fldChar w:fldCharType="end"/>
    </w: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efaultTabStop w:val="708"/>
  <w:autoHyphenation w:val="0"/>
  <w:hyphenationZone w:val="425"/>
  <w:evenAndOddHeaders w:val="0"/>
  <w:compat>
    <w:splitPgBreakAndParaMark/>
    <w:doNotBreakConstrainedForcedTable/>
    <w:doNotVertAlignCellWithSp/>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paragraph" w:styleId="P1">
    <w:name w:val="Звичайний"/>
    <w:next w:val="P1"/>
    <w:qFormat/>
    <w:pPr>
      <w:spacing w:lineRule="auto" w:line="276" w:after="200"/>
    </w:pPr>
    <w:rPr>
      <w:sz w:val="22"/>
      <w:szCs w:val="22"/>
      <w:lang w:val="ru-RU"/>
    </w:rPr>
  </w:style>
  <w:style w:type="paragraph" w:styleId="P2">
    <w:name w:val="Без інтервалів"/>
    <w:next w:val="P2"/>
    <w:qFormat/>
    <w:pPr/>
    <w:rPr>
      <w:sz w:val="22"/>
      <w:szCs w:val="22"/>
      <w:lang w:val="ru-RU"/>
    </w:rPr>
  </w:style>
  <w:style w:type="paragraph" w:styleId="P3">
    <w:name w:val="Заголовок 3"/>
    <w:basedOn w:val="P1"/>
    <w:next w:val="P3"/>
    <w:link w:val="C7"/>
    <w:qFormat/>
    <w:pPr>
      <w:spacing w:lineRule="auto" w:line="240" w:before="100" w:after="100" w:beforeAutospacing="1" w:afterAutospacing="1"/>
      <w:outlineLvl w:val="2"/>
    </w:pPr>
    <w:rPr>
      <w:rFonts w:ascii="Times New Roman" w:hAnsi="Times New Roman"/>
      <w:b w:val="1"/>
      <w:bCs w:val="1"/>
      <w:sz w:val="27"/>
      <w:szCs w:val="27"/>
      <w:lang w:val="en-US"/>
    </w:rPr>
  </w:style>
  <w:style w:type="paragraph" w:styleId="P4">
    <w:name w:val="Верхній колонтитул"/>
    <w:basedOn w:val="P1"/>
    <w:next w:val="P4"/>
    <w:link w:val="C4"/>
    <w:pPr>
      <w:tabs>
        <w:tab w:val="center" w:pos="4819" w:leader="none"/>
        <w:tab w:val="right" w:pos="9639" w:leader="none"/>
      </w:tabs>
    </w:pPr>
    <w:rPr/>
  </w:style>
  <w:style w:type="paragraph" w:styleId="P5">
    <w:name w:val="Нижній колонтитул"/>
    <w:basedOn w:val="P1"/>
    <w:next w:val="P5"/>
    <w:link w:val="C5"/>
    <w:pPr>
      <w:tabs>
        <w:tab w:val="center" w:pos="4819" w:leader="none"/>
        <w:tab w:val="right" w:pos="9639" w:leader="none"/>
      </w:tabs>
    </w:pPr>
    <w:rPr/>
  </w:style>
  <w:style w:type="paragraph" w:styleId="P6">
    <w:name w:val="Char Знак Знак Char Знак Знак Знак Знак Знак Знак Знак Знак Знак Знак Знак Знак Знак Знак Знак Знак Знак Знак Знак Знак Знак"/>
    <w:basedOn w:val="P1"/>
    <w:next w:val="P6"/>
    <w:pPr>
      <w:spacing w:lineRule="auto" w:line="240" w:after="0"/>
    </w:pPr>
    <w:rPr>
      <w:rFonts w:ascii="Verdana" w:hAnsi="Verdana"/>
      <w:sz w:val="20"/>
      <w:szCs w:val="20"/>
      <w:lang w:val="en-US"/>
    </w:rPr>
  </w:style>
  <w:style w:type="paragraph" w:styleId="P7">
    <w:name w:val="Текст у виносці"/>
    <w:basedOn w:val="P1"/>
    <w:next w:val="P7"/>
    <w:link w:val="C6"/>
    <w:pPr>
      <w:spacing w:lineRule="auto" w:line="240" w:after="0"/>
    </w:pPr>
    <w:rPr>
      <w:rFonts w:ascii="Segoe UI" w:hAnsi="Segoe UI"/>
      <w:sz w:val="18"/>
      <w:szCs w:val="18"/>
    </w:rPr>
  </w:style>
  <w:style w:type="paragraph" w:styleId="P8">
    <w:name w:val="rvps2"/>
    <w:basedOn w:val="P1"/>
    <w:next w:val="P8"/>
    <w:pPr>
      <w:spacing w:lineRule="auto" w:line="240" w:before="100" w:after="100" w:beforeAutospacing="1" w:afterAutospacing="1"/>
    </w:pPr>
    <w:rPr>
      <w:rFonts w:ascii="Times New Roman" w:hAnsi="Times New Roman"/>
      <w:sz w:val="24"/>
      <w:szCs w:val="24"/>
      <w:lang w:val="uk-UA"/>
    </w:rPr>
  </w:style>
  <w:style w:type="paragraph" w:styleId="P9">
    <w:name w:val="Звичайний (веб)"/>
    <w:basedOn w:val="P1"/>
    <w:next w:val="P9"/>
    <w:pPr>
      <w:spacing w:lineRule="auto" w:line="240" w:before="100" w:after="100" w:beforeAutospacing="1" w:afterAutospacing="1"/>
    </w:pPr>
    <w:rPr>
      <w:rFonts w:ascii="Times New Roman" w:hAnsi="Times New Roman"/>
      <w:sz w:val="24"/>
      <w:szCs w:val="24"/>
      <w:lang w:val="uk-UA"/>
    </w:rPr>
  </w:style>
  <w:style w:type="paragraph" w:styleId="P10">
    <w:name w:val="Основний текст з відступом"/>
    <w:basedOn w:val="P1"/>
    <w:next w:val="P10"/>
    <w:link w:val="C8"/>
    <w:pPr>
      <w:shd w:val="clear" w:fill="FFFFFF"/>
      <w:spacing w:lineRule="auto" w:line="240" w:before="120" w:after="120"/>
      <w:ind w:firstLine="708" w:right="-185"/>
      <w:jc w:val="both"/>
    </w:pPr>
    <w:rPr>
      <w:rFonts w:ascii="Times New Roman" w:hAnsi="Times New Roman"/>
      <w:sz w:val="28"/>
      <w:szCs w:val="28"/>
      <w:lang w:val="uk-UA"/>
    </w:rPr>
  </w:style>
  <w:style w:type="paragraph" w:styleId="P11">
    <w:name w:val="Нормальний текст"/>
    <w:basedOn w:val="P1"/>
    <w:next w:val="P11"/>
    <w:pPr>
      <w:spacing w:lineRule="auto" w:line="240" w:before="120" w:after="0"/>
      <w:ind w:firstLine="567"/>
    </w:pPr>
    <w:rPr>
      <w:rFonts w:ascii="Antiqua" w:hAnsi="Antiqua"/>
      <w:sz w:val="26"/>
      <w:szCs w:val="26"/>
      <w:lang w:val="uk-UA"/>
    </w:rPr>
  </w:style>
  <w:style w:type="paragraph" w:styleId="P12">
    <w:name w:val="Основний текст 2"/>
    <w:basedOn w:val="P1"/>
    <w:next w:val="P12"/>
    <w:link w:val="C9"/>
    <w:pPr>
      <w:spacing w:lineRule="auto" w:line="480" w:after="120"/>
    </w:pPr>
    <w:rPr/>
  </w:style>
  <w:style w:type="paragraph" w:styleId="P13">
    <w:name w:val="footnote text"/>
    <w:link w:val="C11"/>
    <w:semiHidden/>
    <w:pPr>
      <w:spacing w:lineRule="auto" w:line="240" w:after="0"/>
    </w:pPr>
    <w:rPr>
      <w:sz w:val="20"/>
      <w:szCs w:val="20"/>
    </w:rPr>
  </w:style>
  <w:style w:type="paragraph" w:styleId="P14">
    <w:name w:val="endnote text"/>
    <w:link w:val="C13"/>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Гіперпосилання"/>
    <w:rPr>
      <w:color w:val="0000FF"/>
      <w:u w:val="single"/>
    </w:rPr>
  </w:style>
  <w:style w:type="character" w:styleId="C4">
    <w:name w:val="Верхній колонтитул Знак"/>
    <w:link w:val="P4"/>
    <w:rPr>
      <w:sz w:val="22"/>
      <w:szCs w:val="22"/>
      <w:lang w:val="ru-RU"/>
    </w:rPr>
  </w:style>
  <w:style w:type="character" w:styleId="C5">
    <w:name w:val="Нижній колонтитул Знак"/>
    <w:link w:val="P5"/>
    <w:rPr>
      <w:sz w:val="22"/>
      <w:szCs w:val="22"/>
      <w:lang w:val="ru-RU"/>
    </w:rPr>
  </w:style>
  <w:style w:type="character" w:styleId="C6">
    <w:name w:val="Текст у виносці Знак"/>
    <w:link w:val="P7"/>
    <w:rPr>
      <w:rFonts w:ascii="Segoe UI" w:hAnsi="Segoe UI"/>
      <w:sz w:val="18"/>
      <w:szCs w:val="18"/>
      <w:lang w:val="ru-RU"/>
    </w:rPr>
  </w:style>
  <w:style w:type="character" w:styleId="C7">
    <w:name w:val="Заголовок 3 Знак"/>
    <w:link w:val="P3"/>
    <w:rPr>
      <w:rFonts w:ascii="Times New Roman" w:hAnsi="Times New Roman"/>
      <w:b w:val="1"/>
      <w:bCs w:val="1"/>
      <w:sz w:val="27"/>
      <w:szCs w:val="27"/>
      <w:lang w:val="en-US"/>
    </w:rPr>
  </w:style>
  <w:style w:type="character" w:styleId="C8">
    <w:name w:val="Основний текст з відступом Знак"/>
    <w:link w:val="P10"/>
    <w:rPr>
      <w:rFonts w:ascii="Times New Roman" w:hAnsi="Times New Roman"/>
      <w:sz w:val="28"/>
      <w:szCs w:val="28"/>
      <w:shd w:val="clear" w:color="auto" w:fill="FFFFFF"/>
      <w:lang/>
    </w:rPr>
  </w:style>
  <w:style w:type="character" w:styleId="C9">
    <w:name w:val="Основний текст 2 Знак"/>
    <w:link w:val="P12"/>
    <w:rPr>
      <w:sz w:val="22"/>
      <w:szCs w:val="22"/>
      <w:lang/>
    </w:rPr>
  </w:style>
  <w:style w:type="character" w:styleId="C10">
    <w:name w:val="footnote reference"/>
    <w:semiHidden/>
    <w:rPr>
      <w:vertAlign w:val="superscript"/>
    </w:rPr>
  </w:style>
  <w:style w:type="character" w:styleId="C11">
    <w:name w:val="Footnote Text Char"/>
    <w:link w:val="P13"/>
    <w:semiHidden/>
    <w:rPr>
      <w:sz w:val="20"/>
      <w:szCs w:val="20"/>
    </w:rPr>
  </w:style>
  <w:style w:type="character" w:styleId="C12">
    <w:name w:val="endnote reference"/>
    <w:semiHidden/>
    <w:rPr>
      <w:vertAlign w:val="superscript"/>
    </w:rPr>
  </w:style>
  <w:style w:type="character" w:styleId="C13">
    <w:name w:val="Endnote Text Char"/>
    <w:link w:val="P14"/>
    <w:semiHidden/>
    <w:rPr>
      <w:sz w:val="20"/>
      <w:szCs w:val="2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Звичайна таблиця"/>
    <w:tblPr>
      <w:tblInd w:w="0" w:type="dxa"/>
      <w:tblCellMar>
        <w:top w:w="0" w:type="dxa"/>
        <w:left w:w="108" w:type="dxa"/>
        <w:bottom w:w="0" w:type="dxa"/>
        <w:right w:w="108" w:type="dxa"/>
      </w:tblCellMar>
    </w:tblPr>
    <w:trPr>
      <w:wBefore w:w="0" w:type="dxa"/>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c61c1-3698-4c1e-ba6c-224d288c4371}">
  <ds:schemaRefs>
    <ds:schemaRef ds:uri="http://schemas.microsoft.com/vsto/samples"/>
  </ds:schemaRefs>
</ds:datastoreItem>
</file>

<file path=docProps/app.xml><?xml version="1.0" encoding="utf-8"?>
<Properties xmlns="http://schemas.openxmlformats.org/officeDocument/2006/extended-properties">
  <Application>DevExpress Office File API/21.1.3.0</Application>
  <AppVersion>21.1</AppVersion>
  <Company>Державна служба з питань інвалідів та ветеранів</Company>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Шута В.М.</dc:creator>
  <dcterms:created xsi:type="dcterms:W3CDTF">2024-05-16T12:28:00Z</dcterms:created>
  <cp:lastModifiedBy>pool-iis</cp:lastModifiedBy>
  <cp:lastPrinted>2020-06-24T08:11:00Z</cp:lastPrinted>
  <dcterms:modified xsi:type="dcterms:W3CDTF">2025-05-21T11:06:18Z</dcterms:modified>
  <cp:revision>22</cp:revision>
</cp:coreProperties>
</file>