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E5F0" w14:textId="77777777" w:rsidR="00D74CA6" w:rsidRDefault="00452C37">
      <w:pPr>
        <w:shd w:val="clear" w:color="auto" w:fill="FFFFFF"/>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8"/>
          <w:szCs w:val="28"/>
        </w:rPr>
      </w:pPr>
      <w:r>
        <w:rPr>
          <w:sz w:val="28"/>
          <w:szCs w:val="28"/>
        </w:rPr>
        <w:t>ЗАТВЕРДЖЕНО</w:t>
      </w:r>
    </w:p>
    <w:p w14:paraId="6E060625" w14:textId="77777777" w:rsidR="00D74CA6" w:rsidRDefault="00452C37">
      <w:pPr>
        <w:shd w:val="clear" w:color="auto" w:fill="FFFFFF"/>
        <w:tabs>
          <w:tab w:val="left" w:pos="916"/>
          <w:tab w:val="left" w:pos="1832"/>
          <w:tab w:val="left" w:pos="2748"/>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8"/>
          <w:szCs w:val="28"/>
        </w:rPr>
      </w:pPr>
      <w:r>
        <w:rPr>
          <w:sz w:val="28"/>
          <w:szCs w:val="28"/>
        </w:rPr>
        <w:t>Наказ Міністерства у справах ветеранів України</w:t>
      </w:r>
    </w:p>
    <w:p w14:paraId="7826B119" w14:textId="77777777" w:rsidR="00D74CA6" w:rsidRDefault="00452C37">
      <w:pPr>
        <w:shd w:val="clear" w:color="auto" w:fill="FFFFFF"/>
        <w:tabs>
          <w:tab w:val="left" w:pos="916"/>
          <w:tab w:val="left" w:pos="1832"/>
          <w:tab w:val="left" w:pos="2748"/>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z w:val="28"/>
          <w:szCs w:val="28"/>
        </w:rPr>
      </w:pPr>
      <w:r>
        <w:rPr>
          <w:sz w:val="28"/>
          <w:szCs w:val="28"/>
        </w:rPr>
        <w:t>____ ________ 2026 року № ___</w:t>
      </w:r>
    </w:p>
    <w:p w14:paraId="7F650F6E"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14:paraId="630DD8D5"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2544568C"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49B8F34E"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Положення</w:t>
      </w:r>
    </w:p>
    <w:p w14:paraId="575AC4E3"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 xml:space="preserve">про Міжвідомчу робочу групу з питань трансформації </w:t>
      </w:r>
      <w:r>
        <w:rPr>
          <w:b/>
          <w:bCs/>
          <w:sz w:val="28"/>
          <w:szCs w:val="28"/>
        </w:rPr>
        <w:br/>
        <w:t>системи санаторно-курортного лікування</w:t>
      </w:r>
    </w:p>
    <w:p w14:paraId="5040123A"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45082C23"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65921839" w14:textId="10AF644E" w:rsidR="00D74CA6" w:rsidRDefault="00452C37" w:rsidP="00BA2E3C">
      <w:pPr>
        <w:pStyle w:val="af1"/>
        <w:spacing w:before="0" w:beforeAutospacing="0" w:after="0" w:afterAutospacing="0"/>
        <w:ind w:firstLine="567"/>
        <w:jc w:val="both"/>
        <w:rPr>
          <w:sz w:val="28"/>
          <w:szCs w:val="28"/>
        </w:rPr>
      </w:pPr>
      <w:r>
        <w:rPr>
          <w:sz w:val="28"/>
          <w:szCs w:val="28"/>
        </w:rPr>
        <w:t xml:space="preserve">1. Міжвідомча робоча група з питань трансформації системи </w:t>
      </w:r>
      <w:r>
        <w:rPr>
          <w:sz w:val="28"/>
          <w:szCs w:val="28"/>
        </w:rPr>
        <w:br/>
        <w:t xml:space="preserve">санаторно-курортного лікування (далі – Міжвідомча робоча група) є тимчасовим консультативно-дорадчим органом Міністерства у справах ветеранів України, утвореним </w:t>
      </w:r>
      <w:r w:rsidR="00BA2E3C">
        <w:rPr>
          <w:sz w:val="28"/>
          <w:szCs w:val="28"/>
        </w:rPr>
        <w:t xml:space="preserve">з метою </w:t>
      </w:r>
      <w:r w:rsidR="00BA2E3C" w:rsidRPr="00346C6C">
        <w:rPr>
          <w:sz w:val="28"/>
          <w:szCs w:val="28"/>
        </w:rPr>
        <w:t>розроблення пропозицій щодо створення та впровадження ефективної моделі</w:t>
      </w:r>
      <w:r w:rsidR="00BA2E3C">
        <w:rPr>
          <w:sz w:val="28"/>
          <w:szCs w:val="28"/>
        </w:rPr>
        <w:t xml:space="preserve"> відновлення здоров’я ветеранів війни, осіб, які мають особливі заслуги перед Батьківщиною, постраждалих учасників Революції Гідності (далі – ветерани війни) та осіб, які звільняються або звільнені з військової служби, з урахуванням принципів доказової медицини в Україні.</w:t>
      </w:r>
    </w:p>
    <w:p w14:paraId="30B836EC" w14:textId="77777777" w:rsidR="00D74CA6" w:rsidRDefault="00D74CA6">
      <w:pPr>
        <w:pStyle w:val="af1"/>
        <w:spacing w:before="0" w:beforeAutospacing="0" w:after="0" w:afterAutospacing="0"/>
        <w:ind w:firstLine="567"/>
        <w:jc w:val="both"/>
        <w:rPr>
          <w:sz w:val="28"/>
          <w:szCs w:val="28"/>
        </w:rPr>
      </w:pPr>
    </w:p>
    <w:p w14:paraId="261FCB03" w14:textId="77777777" w:rsidR="00D74CA6" w:rsidRDefault="00452C37">
      <w:pPr>
        <w:pStyle w:val="af1"/>
        <w:spacing w:before="0" w:beforeAutospacing="0" w:after="0" w:afterAutospacing="0"/>
        <w:ind w:firstLine="567"/>
        <w:jc w:val="both"/>
        <w:rPr>
          <w:sz w:val="28"/>
          <w:szCs w:val="28"/>
        </w:rPr>
      </w:pPr>
      <w:r>
        <w:rPr>
          <w:sz w:val="28"/>
          <w:szCs w:val="28"/>
        </w:rPr>
        <w:t>2. Міжвідомча робоча група у своїй діяльності керується Конституцією України та законами України, актами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та цим Положенням.</w:t>
      </w:r>
    </w:p>
    <w:p w14:paraId="2CBBEC50"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406571B5"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 Основними завданнями Міжвідомчої робочої групи є:</w:t>
      </w:r>
    </w:p>
    <w:p w14:paraId="0EC812E2"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2C8931AF"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1) сприяння забезпеченню координації дій органів виконавчої влади з питань трансформації системи санаторно-курортного лікування;</w:t>
      </w:r>
    </w:p>
    <w:p w14:paraId="2643C84A"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11677DD3"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0" w:name="n37"/>
      <w:bookmarkEnd w:id="0"/>
      <w:r>
        <w:rPr>
          <w:sz w:val="28"/>
          <w:szCs w:val="28"/>
        </w:rPr>
        <w:t>2) визначення нових підходів до діяльності у сфері санаторно-курортного лікування з урахуванням принципів доказової медицини в Україні, потреб ветеранів війни та осіб</w:t>
      </w:r>
      <w:r>
        <w:rPr>
          <w:sz w:val="28"/>
          <w:szCs w:val="22"/>
        </w:rPr>
        <w:t>,</w:t>
      </w:r>
      <w:r>
        <w:rPr>
          <w:sz w:val="28"/>
          <w:szCs w:val="28"/>
        </w:rPr>
        <w:t xml:space="preserve"> які звільняються або звільнені з військової служби;</w:t>
      </w:r>
    </w:p>
    <w:p w14:paraId="4A52D14E"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66348C61" w14:textId="7BDF0DBB"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1" w:name="n38"/>
      <w:bookmarkEnd w:id="1"/>
      <w:r>
        <w:rPr>
          <w:sz w:val="28"/>
          <w:szCs w:val="28"/>
        </w:rPr>
        <w:t>3) удосконалення нормативно-правових актів з питань забезпечення надання ветеранам війни та особам</w:t>
      </w:r>
      <w:r w:rsidR="005C44EB">
        <w:rPr>
          <w:sz w:val="28"/>
          <w:szCs w:val="28"/>
        </w:rPr>
        <w:t>,</w:t>
      </w:r>
      <w:r>
        <w:rPr>
          <w:sz w:val="28"/>
          <w:szCs w:val="28"/>
        </w:rPr>
        <w:t xml:space="preserve"> які звільняються або звільнені з військової служби послуг санаторно-курортного лікування</w:t>
      </w:r>
      <w:r w:rsidR="005C44EB">
        <w:rPr>
          <w:sz w:val="28"/>
          <w:szCs w:val="28"/>
        </w:rPr>
        <w:t>,</w:t>
      </w:r>
      <w:r>
        <w:rPr>
          <w:sz w:val="28"/>
          <w:szCs w:val="28"/>
        </w:rPr>
        <w:t xml:space="preserve"> та механізму фінансування таких послуг.</w:t>
      </w:r>
    </w:p>
    <w:p w14:paraId="08FA466D"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046C6744"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4. Міжвідомча робоча група відповідно до покладених на неї завдань:</w:t>
      </w:r>
    </w:p>
    <w:p w14:paraId="4DC260DD"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350ACADD"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2" w:name="n40"/>
      <w:bookmarkEnd w:id="2"/>
      <w:r>
        <w:rPr>
          <w:sz w:val="28"/>
          <w:szCs w:val="28"/>
        </w:rPr>
        <w:t>1) проводить аналіз стану справ у сфері санаторно-курортного лікування;</w:t>
      </w:r>
    </w:p>
    <w:p w14:paraId="7A154C2F"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1E18A75B"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3" w:name="n41"/>
      <w:bookmarkEnd w:id="3"/>
      <w:r>
        <w:rPr>
          <w:sz w:val="28"/>
          <w:szCs w:val="28"/>
        </w:rPr>
        <w:t>2) вивчає міжнародний досвід у сфері санаторно-курортного лікування;</w:t>
      </w:r>
    </w:p>
    <w:p w14:paraId="32D90056"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4" w:name="n42"/>
      <w:bookmarkEnd w:id="4"/>
    </w:p>
    <w:p w14:paraId="49EEB883"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 розробляє пропозиції щодо удосконалення підходів до забезпечення надання послуг санаторно-курортного лікування;</w:t>
      </w:r>
    </w:p>
    <w:p w14:paraId="66294830"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58C34808"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5" w:name="n43"/>
      <w:bookmarkEnd w:id="5"/>
      <w:r>
        <w:rPr>
          <w:sz w:val="28"/>
          <w:szCs w:val="28"/>
        </w:rPr>
        <w:t>4) бере участь у підготовці проектів нормативно-правових актів з питань, що належать до її компетенції.</w:t>
      </w:r>
    </w:p>
    <w:p w14:paraId="56AF38A4"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1B1CCE56"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5. Міжвідомча робоча група має право:</w:t>
      </w:r>
    </w:p>
    <w:p w14:paraId="3B247C27"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01BBC5E1"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1) отримувати в установленому порядку від органів </w:t>
      </w:r>
      <w:r>
        <w:rPr>
          <w:sz w:val="28"/>
          <w:szCs w:val="22"/>
        </w:rPr>
        <w:t xml:space="preserve">державної </w:t>
      </w:r>
      <w:r>
        <w:rPr>
          <w:sz w:val="28"/>
          <w:szCs w:val="28"/>
        </w:rPr>
        <w:t>влади, органів місцевого самоврядування, підприємств, установ та організацій інформацію, необхідну для виконання покладених на неї завдань;</w:t>
      </w:r>
    </w:p>
    <w:p w14:paraId="1BA2F6D2"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55E3A4F7"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2) під час виконання покладених на неї завдань взаємодіяти та залучати до участі у своїй роботі представників </w:t>
      </w:r>
      <w:r>
        <w:rPr>
          <w:sz w:val="28"/>
          <w:szCs w:val="22"/>
        </w:rPr>
        <w:t>органів державної влади</w:t>
      </w:r>
      <w:r>
        <w:rPr>
          <w:sz w:val="28"/>
          <w:szCs w:val="28"/>
        </w:rPr>
        <w:t>, органів місцевого самоврядування, громадських об’єднань, міжнародних неурядових організацій, підприємств, установ та організацій (за згодою);</w:t>
      </w:r>
    </w:p>
    <w:p w14:paraId="193C7DEF"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0B80A5F"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3) організовувати проведення конференцій, засідань за круглим столом, нарад, консультацій та інших заходів.</w:t>
      </w:r>
    </w:p>
    <w:p w14:paraId="6F72C277"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09B34E9"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6. Склад Міжвідомчої робочої групи затверджується наказом Мінветеранів.</w:t>
      </w:r>
    </w:p>
    <w:p w14:paraId="7D4994D9"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Міжвідомчу робочу групу очолює голова.</w:t>
      </w:r>
    </w:p>
    <w:p w14:paraId="0AE0509B"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Голова Міжвідомчої робочої групи має заступника.</w:t>
      </w:r>
    </w:p>
    <w:p w14:paraId="5A8102E1" w14:textId="28698B13"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Представники громадських об’єднань, що представляють інтереси ветеранів війни та осіб</w:t>
      </w:r>
      <w:r w:rsidR="00BA2E3C">
        <w:rPr>
          <w:sz w:val="28"/>
          <w:szCs w:val="28"/>
        </w:rPr>
        <w:t>,</w:t>
      </w:r>
      <w:r>
        <w:rPr>
          <w:sz w:val="28"/>
          <w:szCs w:val="28"/>
        </w:rPr>
        <w:t xml:space="preserve"> які звільняються або звільнені з військової служби, беруть участь у засіданнях Міжвідомчої робочої групи з правом дорадчого голосу.</w:t>
      </w:r>
    </w:p>
    <w:p w14:paraId="225850E6" w14:textId="5C2CDAA8"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Голова Міжвідомчої робочої групи представляє Міжвідомчу робочу групу у відносинах з </w:t>
      </w:r>
      <w:r>
        <w:rPr>
          <w:sz w:val="28"/>
          <w:szCs w:val="22"/>
        </w:rPr>
        <w:t>орган</w:t>
      </w:r>
      <w:r w:rsidR="00BA2E3C">
        <w:rPr>
          <w:sz w:val="28"/>
          <w:szCs w:val="22"/>
        </w:rPr>
        <w:t>ами</w:t>
      </w:r>
      <w:r>
        <w:rPr>
          <w:sz w:val="28"/>
          <w:szCs w:val="22"/>
        </w:rPr>
        <w:t xml:space="preserve"> державної влади</w:t>
      </w:r>
      <w:r>
        <w:rPr>
          <w:sz w:val="28"/>
          <w:szCs w:val="28"/>
        </w:rPr>
        <w:t>, органами місцевого самоврядування тощо.</w:t>
      </w:r>
    </w:p>
    <w:p w14:paraId="31245542"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59E78650"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7. Формою роботи Міжвідомчої робочої групи є засідання, що проводяться за рішенням голови або заступника голови (у разі виконання обов’язків голови).</w:t>
      </w:r>
    </w:p>
    <w:p w14:paraId="221893E4"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Засідання Міжвідомчої робочої групи проводить голова, а у разі його відсутності – заступник голови.</w:t>
      </w:r>
    </w:p>
    <w:p w14:paraId="23EE49BA"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Голова Міжвідомчої робочої групи може прийняти рішення про проведення засідання у режимі реального часу (онлайн) з використанням відповідних технічних засобів, </w:t>
      </w:r>
      <w:r>
        <w:rPr>
          <w:color w:val="000000" w:themeColor="text1"/>
          <w:sz w:val="28"/>
          <w:szCs w:val="28"/>
        </w:rPr>
        <w:t>зокрема через Інтернет</w:t>
      </w:r>
      <w:r>
        <w:rPr>
          <w:sz w:val="28"/>
          <w:szCs w:val="28"/>
        </w:rPr>
        <w:t>, або про участь члена Міжвідомчої робочої групи в такому режимі у засіданні Міжвідомчої робочої групи.</w:t>
      </w:r>
    </w:p>
    <w:p w14:paraId="078F2B62"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Підготовку матеріалів для розгляду на засіданні Міжвідомчої робочої групи забезпечує її секретар.</w:t>
      </w:r>
    </w:p>
    <w:p w14:paraId="1A7FF4AB"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Засідання Міжвідомчої робочої групи вважається правоможним, якщо на ньому присутні більш як половина її членів.</w:t>
      </w:r>
    </w:p>
    <w:p w14:paraId="39DA0216"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7B8EE825"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lastRenderedPageBreak/>
        <w:t>8. Міжвідомча робоча група на своїх засіданнях розробляє пропозиції та рекомендації з питань, що належать до її компетенції.</w:t>
      </w:r>
    </w:p>
    <w:p w14:paraId="346CD1B2" w14:textId="1E5BE7FE"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Пропозиції та рекомендації вважаються схваленими, якщо за них </w:t>
      </w:r>
      <w:r w:rsidRPr="00BA2E3C">
        <w:rPr>
          <w:sz w:val="28"/>
          <w:szCs w:val="28"/>
        </w:rPr>
        <w:t>проголосувало більш як половина присутніх на засіданн</w:t>
      </w:r>
      <w:r w:rsidR="00BA2E3C" w:rsidRPr="00BA2E3C">
        <w:rPr>
          <w:sz w:val="28"/>
          <w:szCs w:val="28"/>
        </w:rPr>
        <w:t>і</w:t>
      </w:r>
      <w:r w:rsidRPr="00BA2E3C">
        <w:rPr>
          <w:sz w:val="28"/>
          <w:szCs w:val="28"/>
        </w:rPr>
        <w:t xml:space="preserve"> членів Міжвідомчої робочої групи.</w:t>
      </w:r>
    </w:p>
    <w:p w14:paraId="4DB5760D"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У разі рівного розподілу голосів вирішальним є голос головуючого на засіданні.</w:t>
      </w:r>
    </w:p>
    <w:p w14:paraId="457EA923"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Пропозиції та рекомендації фіксуються у протоколі засідання Міжвідомчої робочої групи, який підписується головуючим та секретарем і надсилається всім членам Міжвідомчої робочої групи.</w:t>
      </w:r>
    </w:p>
    <w:p w14:paraId="272B8A72"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Член Міжвідомчої робочої групи, який не підтримує рішення, може викласти свою окрему думку у письмовій формі, яка додається до протоколу.</w:t>
      </w:r>
    </w:p>
    <w:p w14:paraId="4C6AEC03"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3CED1C90"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 w:val="28"/>
          <w:szCs w:val="28"/>
        </w:rPr>
        <w:t>9. Рішення Міжвідомчої робочої групи мають рекомендаційний характер та підлягають обов’язковому розгляду Мінветеранів.</w:t>
      </w:r>
    </w:p>
    <w:p w14:paraId="6F6D823F" w14:textId="77777777" w:rsidR="00D74CA6" w:rsidRDefault="00D74C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572AA518" w14:textId="77777777" w:rsidR="00D74CA6" w:rsidRDefault="00452C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10. Організаційне, інформаційне та матеріально-технічне забезпечення діяльності Міжвідомчої робочої групи здійснює Мінветеранів.</w:t>
      </w:r>
    </w:p>
    <w:p w14:paraId="1A0C6D73" w14:textId="77777777" w:rsidR="00D74CA6" w:rsidRDefault="00D74CA6">
      <w:pPr>
        <w:tabs>
          <w:tab w:val="left" w:pos="7088"/>
          <w:tab w:val="left" w:pos="7230"/>
        </w:tabs>
        <w:jc w:val="both"/>
        <w:rPr>
          <w:sz w:val="28"/>
          <w:szCs w:val="28"/>
        </w:rPr>
      </w:pPr>
    </w:p>
    <w:p w14:paraId="69CFA58C" w14:textId="77777777" w:rsidR="00D74CA6" w:rsidRDefault="00452C37">
      <w:pPr>
        <w:jc w:val="center"/>
      </w:pPr>
      <w:r>
        <w:rPr>
          <w:sz w:val="28"/>
          <w:szCs w:val="28"/>
        </w:rPr>
        <w:t>____________________</w:t>
      </w:r>
    </w:p>
    <w:sectPr w:rsidR="00D74CA6">
      <w:headerReference w:type="default" r:id="rId6"/>
      <w:pgSz w:w="11906" w:h="16838"/>
      <w:pgMar w:top="1134" w:right="567" w:bottom="1134" w:left="1701" w:header="51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5614" w14:textId="77777777" w:rsidR="00BE2FEE" w:rsidRDefault="00BE2FEE"/>
  </w:endnote>
  <w:endnote w:type="continuationSeparator" w:id="0">
    <w:p w14:paraId="29EC0CF9" w14:textId="77777777" w:rsidR="00BE2FEE" w:rsidRDefault="00BE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41BC" w14:textId="77777777" w:rsidR="00BE2FEE" w:rsidRDefault="00BE2FEE"/>
  </w:footnote>
  <w:footnote w:type="continuationSeparator" w:id="0">
    <w:p w14:paraId="70B0ED56" w14:textId="77777777" w:rsidR="00BE2FEE" w:rsidRDefault="00BE2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B05C" w14:textId="77777777" w:rsidR="00D74CA6" w:rsidRDefault="00452C37">
    <w:pPr>
      <w:pStyle w:val="ac"/>
      <w:jc w:val="center"/>
    </w:pPr>
    <w:r>
      <w:fldChar w:fldCharType="begin"/>
    </w:r>
    <w:r>
      <w:instrText>PAGE   \* MERGEFORMAT</w:instrText>
    </w:r>
    <w:r>
      <w:fldChar w:fldCharType="separate"/>
    </w:r>
    <w:r>
      <w:t>#</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A6"/>
    <w:rsid w:val="00452C37"/>
    <w:rsid w:val="005C44EB"/>
    <w:rsid w:val="00BA2E3C"/>
    <w:rsid w:val="00BE2FEE"/>
    <w:rsid w:val="00D74C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7302"/>
  <w15:docId w15:val="{E1B540BB-B982-4EC9-B7AC-076B8A34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eastAsia="uk-UA"/>
    </w:rPr>
  </w:style>
  <w:style w:type="paragraph" w:styleId="1">
    <w:name w:val="heading 1"/>
    <w:basedOn w:val="a"/>
    <w:next w:val="a"/>
    <w:link w:val="10"/>
    <w:uiPriority w:val="9"/>
    <w:qFormat/>
    <w:pPr>
      <w:keepNext/>
      <w:keepLines/>
      <w:spacing w:before="360" w:after="80" w:line="259" w:lineRule="auto"/>
      <w:outlineLvl w:val="0"/>
    </w:pPr>
    <w:rPr>
      <w:color w:val="2F5496" w:themeColor="accent1" w:themeShade="BF"/>
      <w:sz w:val="40"/>
      <w:szCs w:val="40"/>
      <w:lang w:eastAsia="en-US"/>
    </w:rPr>
  </w:style>
  <w:style w:type="paragraph" w:styleId="2">
    <w:name w:val="heading 2"/>
    <w:basedOn w:val="a"/>
    <w:next w:val="a"/>
    <w:link w:val="20"/>
    <w:uiPriority w:val="9"/>
    <w:semiHidden/>
    <w:unhideWhenUsed/>
    <w:qFormat/>
    <w:pPr>
      <w:keepNext/>
      <w:keepLines/>
      <w:spacing w:before="160" w:after="80" w:line="259" w:lineRule="auto"/>
      <w:outlineLvl w:val="1"/>
    </w:pPr>
    <w:rPr>
      <w:color w:val="2F5496" w:themeColor="accent1" w:themeShade="BF"/>
      <w:sz w:val="32"/>
      <w:szCs w:val="32"/>
      <w:lang w:eastAsia="en-US"/>
    </w:rPr>
  </w:style>
  <w:style w:type="paragraph" w:styleId="3">
    <w:name w:val="heading 3"/>
    <w:basedOn w:val="a"/>
    <w:next w:val="a"/>
    <w:link w:val="30"/>
    <w:uiPriority w:val="9"/>
    <w:semiHidden/>
    <w:unhideWhenUsed/>
    <w:qFormat/>
    <w:pPr>
      <w:keepNext/>
      <w:keepLines/>
      <w:spacing w:before="160" w:after="80" w:line="259" w:lineRule="auto"/>
      <w:outlineLvl w:val="2"/>
    </w:pPr>
    <w:rPr>
      <w:color w:val="2F5496" w:themeColor="accent1" w:themeShade="BF"/>
      <w:sz w:val="28"/>
      <w:szCs w:val="28"/>
      <w:lang w:eastAsia="en-US"/>
    </w:rPr>
  </w:style>
  <w:style w:type="paragraph" w:styleId="4">
    <w:name w:val="heading 4"/>
    <w:basedOn w:val="a"/>
    <w:next w:val="a"/>
    <w:link w:val="40"/>
    <w:uiPriority w:val="9"/>
    <w:semiHidden/>
    <w:unhideWhenUsed/>
    <w:qFormat/>
    <w:pPr>
      <w:keepNext/>
      <w:keepLines/>
      <w:spacing w:before="80" w:after="40" w:line="259" w:lineRule="auto"/>
      <w:outlineLvl w:val="3"/>
    </w:pPr>
    <w:rPr>
      <w:i/>
      <w:iCs/>
      <w:color w:val="2F5496" w:themeColor="accent1" w:themeShade="BF"/>
      <w:sz w:val="22"/>
      <w:szCs w:val="22"/>
      <w:lang w:eastAsia="en-US"/>
    </w:rPr>
  </w:style>
  <w:style w:type="paragraph" w:styleId="5">
    <w:name w:val="heading 5"/>
    <w:basedOn w:val="a"/>
    <w:next w:val="a"/>
    <w:link w:val="50"/>
    <w:uiPriority w:val="9"/>
    <w:semiHidden/>
    <w:unhideWhenUsed/>
    <w:qFormat/>
    <w:pPr>
      <w:keepNext/>
      <w:keepLines/>
      <w:spacing w:before="80" w:after="40" w:line="259" w:lineRule="auto"/>
      <w:outlineLvl w:val="4"/>
    </w:pPr>
    <w:rPr>
      <w:color w:val="2F5496" w:themeColor="accent1" w:themeShade="BF"/>
      <w:sz w:val="22"/>
      <w:szCs w:val="22"/>
      <w:lang w:eastAsia="en-US"/>
    </w:rPr>
  </w:style>
  <w:style w:type="paragraph" w:styleId="6">
    <w:name w:val="heading 6"/>
    <w:basedOn w:val="a"/>
    <w:next w:val="a"/>
    <w:link w:val="60"/>
    <w:uiPriority w:val="9"/>
    <w:semiHidden/>
    <w:unhideWhenUsed/>
    <w:qFormat/>
    <w:pPr>
      <w:keepNext/>
      <w:keepLines/>
      <w:spacing w:before="40" w:line="259" w:lineRule="auto"/>
      <w:outlineLvl w:val="5"/>
    </w:pPr>
    <w:rPr>
      <w:i/>
      <w:iCs/>
      <w:color w:val="595959" w:themeColor="text1" w:themeTint="A6"/>
      <w:sz w:val="22"/>
      <w:szCs w:val="22"/>
      <w:lang w:eastAsia="en-US"/>
    </w:rPr>
  </w:style>
  <w:style w:type="paragraph" w:styleId="7">
    <w:name w:val="heading 7"/>
    <w:basedOn w:val="a"/>
    <w:next w:val="a"/>
    <w:link w:val="70"/>
    <w:semiHidden/>
    <w:qFormat/>
    <w:pPr>
      <w:keepNext/>
      <w:keepLines/>
      <w:spacing w:before="40" w:line="259" w:lineRule="auto"/>
      <w:outlineLvl w:val="6"/>
    </w:pPr>
    <w:rPr>
      <w:color w:val="595959" w:themeColor="text1" w:themeTint="A6"/>
      <w:sz w:val="22"/>
      <w:szCs w:val="22"/>
      <w:lang w:eastAsia="en-US"/>
    </w:rPr>
  </w:style>
  <w:style w:type="paragraph" w:styleId="8">
    <w:name w:val="heading 8"/>
    <w:basedOn w:val="a"/>
    <w:next w:val="a"/>
    <w:link w:val="80"/>
    <w:semiHidden/>
    <w:qFormat/>
    <w:pPr>
      <w:keepNext/>
      <w:keepLines/>
      <w:spacing w:line="259" w:lineRule="auto"/>
      <w:outlineLvl w:val="7"/>
    </w:pPr>
    <w:rPr>
      <w:i/>
      <w:iCs/>
      <w:color w:val="272727" w:themeColor="text1" w:themeTint="D8"/>
      <w:sz w:val="22"/>
      <w:szCs w:val="22"/>
      <w:lang w:eastAsia="en-US"/>
    </w:rPr>
  </w:style>
  <w:style w:type="paragraph" w:styleId="9">
    <w:name w:val="heading 9"/>
    <w:basedOn w:val="a"/>
    <w:next w:val="a"/>
    <w:link w:val="90"/>
    <w:semiHidden/>
    <w:qFormat/>
    <w:pPr>
      <w:keepNext/>
      <w:keepLines/>
      <w:spacing w:line="259" w:lineRule="auto"/>
      <w:outlineLvl w:val="8"/>
    </w:pPr>
    <w:rPr>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contextualSpacing/>
    </w:pPr>
    <w:rPr>
      <w:spacing w:val="-10"/>
      <w:kern w:val="28"/>
      <w:sz w:val="56"/>
      <w:szCs w:val="56"/>
      <w:lang w:eastAsia="en-US"/>
    </w:rPr>
  </w:style>
  <w:style w:type="paragraph" w:styleId="a5">
    <w:name w:val="Subtitle"/>
    <w:basedOn w:val="a"/>
    <w:next w:val="a"/>
    <w:link w:val="a6"/>
    <w:uiPriority w:val="11"/>
    <w:qFormat/>
    <w:pPr>
      <w:spacing w:after="160" w:line="259" w:lineRule="auto"/>
    </w:pPr>
    <w:rPr>
      <w:color w:val="595959" w:themeColor="text1" w:themeTint="A6"/>
      <w:spacing w:val="15"/>
      <w:sz w:val="28"/>
      <w:szCs w:val="28"/>
      <w:lang w:eastAsia="en-US"/>
    </w:rPr>
  </w:style>
  <w:style w:type="paragraph" w:styleId="a7">
    <w:name w:val="Quote"/>
    <w:basedOn w:val="a"/>
    <w:next w:val="a"/>
    <w:link w:val="a8"/>
    <w:qFormat/>
    <w:pPr>
      <w:spacing w:before="160" w:after="160" w:line="259" w:lineRule="auto"/>
      <w:jc w:val="center"/>
    </w:pPr>
    <w:rPr>
      <w:i/>
      <w:iCs/>
      <w:color w:val="404040" w:themeColor="text1" w:themeTint="BF"/>
      <w:sz w:val="22"/>
      <w:szCs w:val="22"/>
      <w:lang w:eastAsia="en-US"/>
    </w:rPr>
  </w:style>
  <w:style w:type="paragraph" w:styleId="a9">
    <w:name w:val="List Paragraph"/>
    <w:basedOn w:val="a"/>
    <w:qFormat/>
    <w:pPr>
      <w:spacing w:after="160" w:line="259" w:lineRule="auto"/>
      <w:ind w:left="720"/>
      <w:contextualSpacing/>
    </w:pPr>
    <w:rPr>
      <w:sz w:val="22"/>
      <w:szCs w:val="22"/>
      <w:lang w:eastAsia="en-US"/>
    </w:rPr>
  </w:style>
  <w:style w:type="paragraph" w:styleId="aa">
    <w:name w:val="Intense Quote"/>
    <w:basedOn w:val="a"/>
    <w:next w:val="a"/>
    <w:link w:val="ab"/>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eastAsia="en-US"/>
    </w:rPr>
  </w:style>
  <w:style w:type="paragraph" w:styleId="ac">
    <w:name w:val="header"/>
    <w:basedOn w:val="a"/>
    <w:link w:val="ad"/>
    <w:pPr>
      <w:tabs>
        <w:tab w:val="center" w:pos="4819"/>
        <w:tab w:val="right" w:pos="9639"/>
      </w:tabs>
    </w:pPr>
  </w:style>
  <w:style w:type="paragraph" w:styleId="ae">
    <w:name w:val="footer"/>
    <w:basedOn w:val="a"/>
    <w:link w:val="af"/>
    <w:pPr>
      <w:tabs>
        <w:tab w:val="center" w:pos="4819"/>
        <w:tab w:val="right" w:pos="9639"/>
      </w:tabs>
    </w:pPr>
  </w:style>
  <w:style w:type="paragraph" w:styleId="af0">
    <w:name w:val="Revision"/>
    <w:hidden/>
    <w:semiHidden/>
    <w:pPr>
      <w:spacing w:after="0" w:line="240" w:lineRule="auto"/>
    </w:pPr>
    <w:rPr>
      <w:rFonts w:ascii="Times New Roman" w:hAnsi="Times New Roman"/>
      <w:sz w:val="24"/>
      <w:szCs w:val="24"/>
      <w:lang w:eastAsia="uk-UA"/>
    </w:rPr>
  </w:style>
  <w:style w:type="paragraph" w:styleId="af1">
    <w:name w:val="Normal (Web)"/>
    <w:basedOn w:val="a"/>
    <w:pPr>
      <w:spacing w:before="100" w:beforeAutospacing="1" w:after="100" w:afterAutospacing="1"/>
    </w:p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basedOn w:val="a0"/>
    <w:rPr>
      <w:color w:val="0563C1" w:themeColor="hyperlink"/>
      <w:u w:val="single"/>
    </w:rPr>
  </w:style>
  <w:style w:type="character" w:customStyle="1" w:styleId="10">
    <w:name w:val="Заголовок 1 Знак"/>
    <w:basedOn w:val="a0"/>
    <w:link w:val="1"/>
    <w:rPr>
      <w:color w:val="2F5496" w:themeColor="accent1" w:themeShade="BF"/>
      <w:sz w:val="40"/>
      <w:szCs w:val="40"/>
    </w:rPr>
  </w:style>
  <w:style w:type="character" w:customStyle="1" w:styleId="20">
    <w:name w:val="Заголовок 2 Знак"/>
    <w:basedOn w:val="a0"/>
    <w:link w:val="2"/>
    <w:semiHidden/>
    <w:rPr>
      <w:color w:val="2F5496" w:themeColor="accent1" w:themeShade="BF"/>
      <w:sz w:val="32"/>
      <w:szCs w:val="32"/>
    </w:rPr>
  </w:style>
  <w:style w:type="character" w:customStyle="1" w:styleId="30">
    <w:name w:val="Заголовок 3 Знак"/>
    <w:basedOn w:val="a0"/>
    <w:link w:val="3"/>
    <w:rPr>
      <w:color w:val="2F5496" w:themeColor="accent1" w:themeShade="BF"/>
      <w:sz w:val="28"/>
      <w:szCs w:val="28"/>
    </w:rPr>
  </w:style>
  <w:style w:type="character" w:customStyle="1" w:styleId="40">
    <w:name w:val="Заголовок 4 Знак"/>
    <w:basedOn w:val="a0"/>
    <w:link w:val="4"/>
    <w:semiHidden/>
    <w:rPr>
      <w:i/>
      <w:iCs/>
      <w:color w:val="2F5496" w:themeColor="accent1" w:themeShade="BF"/>
    </w:rPr>
  </w:style>
  <w:style w:type="character" w:customStyle="1" w:styleId="50">
    <w:name w:val="Заголовок 5 Знак"/>
    <w:basedOn w:val="a0"/>
    <w:link w:val="5"/>
    <w:semiHidden/>
    <w:rPr>
      <w:color w:val="2F5496" w:themeColor="accent1" w:themeShade="BF"/>
    </w:rPr>
  </w:style>
  <w:style w:type="character" w:customStyle="1" w:styleId="60">
    <w:name w:val="Заголовок 6 Знак"/>
    <w:basedOn w:val="a0"/>
    <w:link w:val="6"/>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4">
    <w:name w:val="Назва Знак"/>
    <w:basedOn w:val="a0"/>
    <w:link w:val="a3"/>
    <w:rPr>
      <w:spacing w:val="-10"/>
      <w:kern w:val="28"/>
      <w:sz w:val="56"/>
      <w:szCs w:val="56"/>
    </w:rPr>
  </w:style>
  <w:style w:type="character" w:customStyle="1" w:styleId="a6">
    <w:name w:val="Підзаголовок Знак"/>
    <w:basedOn w:val="a0"/>
    <w:link w:val="a5"/>
    <w:rPr>
      <w:color w:val="595959" w:themeColor="text1" w:themeTint="A6"/>
      <w:spacing w:val="15"/>
      <w:sz w:val="28"/>
      <w:szCs w:val="28"/>
    </w:rPr>
  </w:style>
  <w:style w:type="character" w:customStyle="1" w:styleId="a8">
    <w:name w:val="Цитата Знак"/>
    <w:basedOn w:val="a0"/>
    <w:link w:val="a7"/>
    <w:rPr>
      <w:i/>
      <w:iCs/>
      <w:color w:val="404040" w:themeColor="text1" w:themeTint="BF"/>
    </w:rPr>
  </w:style>
  <w:style w:type="character" w:styleId="af8">
    <w:name w:val="Intense Emphasis"/>
    <w:basedOn w:val="a0"/>
    <w:qFormat/>
    <w:rPr>
      <w:i/>
      <w:iCs/>
      <w:color w:val="2F5496" w:themeColor="accent1" w:themeShade="BF"/>
    </w:rPr>
  </w:style>
  <w:style w:type="character" w:customStyle="1" w:styleId="ab">
    <w:name w:val="Насичена цитата Знак"/>
    <w:basedOn w:val="a0"/>
    <w:link w:val="aa"/>
    <w:rPr>
      <w:i/>
      <w:iCs/>
      <w:color w:val="2F5496" w:themeColor="accent1" w:themeShade="BF"/>
    </w:rPr>
  </w:style>
  <w:style w:type="character" w:customStyle="1" w:styleId="IntenseReference1">
    <w:name w:val="Intense Reference1"/>
    <w:basedOn w:val="a0"/>
    <w:qFormat/>
    <w:rPr>
      <w:b/>
      <w:bCs/>
      <w:smallCaps/>
      <w:color w:val="2F5496" w:themeColor="accent1" w:themeShade="BF"/>
      <w:spacing w:val="5"/>
    </w:rPr>
  </w:style>
  <w:style w:type="character" w:customStyle="1" w:styleId="ad">
    <w:name w:val="Верхній колонтитул Знак"/>
    <w:basedOn w:val="a0"/>
    <w:link w:val="ac"/>
    <w:rPr>
      <w:rFonts w:ascii="Times New Roman" w:hAnsi="Times New Roman"/>
      <w:sz w:val="24"/>
      <w:szCs w:val="24"/>
      <w:lang w:eastAsia="uk-UA"/>
    </w:rPr>
  </w:style>
  <w:style w:type="character" w:customStyle="1" w:styleId="af">
    <w:name w:val="Нижній колонтитул Знак"/>
    <w:basedOn w:val="a0"/>
    <w:link w:val="ae"/>
    <w:rPr>
      <w:rFonts w:ascii="Times New Roman" w:hAnsi="Times New Roman"/>
      <w:sz w:val="24"/>
      <w:szCs w:val="24"/>
      <w:lang w:eastAsia="uk-UA"/>
    </w:rPr>
  </w:style>
  <w:style w:type="character" w:customStyle="1" w:styleId="UnresolvedMention1">
    <w:name w:val="Unresolved Mention1"/>
    <w:basedOn w:val="a0"/>
    <w:semiHidden/>
    <w:rPr>
      <w:color w:val="605E5C"/>
      <w:shd w:val="clear" w:color="auto" w:fill="E1DFDD"/>
    </w:rPr>
  </w:style>
  <w:style w:type="character" w:styleId="af9">
    <w:name w:val="footnote reference"/>
    <w:semiHidden/>
    <w:rPr>
      <w:vertAlign w:val="superscript"/>
    </w:rPr>
  </w:style>
  <w:style w:type="character" w:customStyle="1" w:styleId="af3">
    <w:name w:val="Текст виноски Знак"/>
    <w:link w:val="af2"/>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character" w:styleId="afb">
    <w:name w:val="Emphasis"/>
    <w:basedOn w:val="a0"/>
    <w:qFormat/>
    <w:rPr>
      <w:i/>
      <w:iCs/>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1"/>
    <w:pPr>
      <w:spacing w:after="0" w:line="240" w:lineRule="auto"/>
    </w:pPr>
    <w:rPr>
      <w:rFonts w:ascii="Times New Roman" w:hAnsi="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3166</Words>
  <Characters>1806</Characters>
  <Application>Microsoft Office Word</Application>
  <DocSecurity>0</DocSecurity>
  <Lines>15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Соломенко Оксана Анатоліївна</dc:creator>
  <cp:lastModifiedBy>Михайлова Ірина Сергіївна</cp:lastModifiedBy>
  <cp:revision>21</cp:revision>
  <cp:lastPrinted>2025-07-17T08:48:00Z</cp:lastPrinted>
  <dcterms:created xsi:type="dcterms:W3CDTF">2026-01-09T14:27:00Z</dcterms:created>
  <dcterms:modified xsi:type="dcterms:W3CDTF">2026-03-02T13:58:00Z</dcterms:modified>
</cp:coreProperties>
</file>