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ind w:left="9071"/>
        <w:rPr>
          <w:rFonts w:ascii="Times New Roman" w:hAnsi="Times New Roman"/>
          <w:color w:val="0D0D0D" w:themeColor="text1" w:themeTint="F2"/>
          <w:sz w:val="27"/>
          <w:szCs w:val="27"/>
        </w:rPr>
      </w:pPr>
      <w:bookmarkStart w:id="0" w:name="_Hlk209704037"/>
      <w:bookmarkStart w:id="1" w:name="_Hlk211849494"/>
      <w:r>
        <w:rPr>
          <w:rFonts w:ascii="Times New Roman" w:hAnsi="Times New Roman"/>
          <w:color w:val="0D0D0D" w:themeColor="text1" w:themeTint="F2"/>
          <w:sz w:val="27"/>
          <w:szCs w:val="27"/>
        </w:rPr>
        <w:t>ЗАТВЕРДЖЕНО</w:t>
      </w:r>
      <w:r>
        <w:rPr>
          <w:rFonts w:ascii="Times New Roman" w:hAnsi="Times New Roman"/>
          <w:color w:val="0D0D0D" w:themeColor="text1" w:themeTint="F2"/>
          <w:sz w:val="27"/>
          <w:szCs w:val="27"/>
        </w:rPr>
        <w:br w:type="textWrapping"/>
      </w:r>
      <w:r>
        <w:rPr>
          <w:rFonts w:ascii="Times New Roman" w:hAnsi="Times New Roman"/>
          <w:color w:val="0D0D0D" w:themeColor="text1" w:themeTint="F2"/>
          <w:sz w:val="27"/>
          <w:szCs w:val="27"/>
        </w:rPr>
        <w:t>Наказ Міністерства у справах ветеранів України</w:t>
      </w:r>
    </w:p>
    <w:p>
      <w:pPr>
        <w:shd w:val="clear" w:fill="FFFFFF"/>
        <w:ind w:left="9071"/>
        <w:rPr>
          <w:rFonts w:ascii="Times New Roman" w:hAnsi="Times New Roman"/>
          <w:color w:val="0D0D0D" w:themeColor="text1" w:themeTint="F2"/>
          <w:sz w:val="27"/>
          <w:szCs w:val="27"/>
          <w:lang w:val="ru-RU"/>
        </w:rPr>
      </w:pPr>
      <w:r>
        <w:rPr>
          <w:rFonts w:ascii="Times New Roman" w:hAnsi="Times New Roman"/>
          <w:color w:val="0D0D0D" w:themeColor="text1" w:themeTint="F2"/>
          <w:sz w:val="27"/>
          <w:szCs w:val="27"/>
        </w:rPr>
        <w:t>__ ________ 2025 року № ____</w:t>
      </w:r>
      <w:bookmarkEnd w:id="0"/>
      <w:bookmarkEnd w:id="1"/>
    </w:p>
    <w:p>
      <w:pPr>
        <w:jc w:val="both"/>
        <w:rPr>
          <w:rFonts w:ascii="Times New Roman" w:hAnsi="Times New Roman"/>
          <w:color w:val="0D0D0D" w:themeColor="text1" w:themeTint="F2"/>
          <w:sz w:val="27"/>
          <w:szCs w:val="27"/>
          <w:lang w:val="ru-RU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rFonts w:ascii="Times New Roman" w:hAnsi="Times New Roman"/>
          <w:b w:val="1"/>
          <w:color w:val="0D0D0D" w:themeColor="text1" w:themeTint="F2"/>
          <w:sz w:val="27"/>
          <w:szCs w:val="27"/>
        </w:rPr>
      </w:pP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>ТЕХНОЛОГІЧНА КАРТКА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center"/>
        <w:rPr>
          <w:rFonts w:ascii="Times New Roman" w:hAnsi="Times New Roman"/>
          <w:b w:val="1"/>
          <w:color w:val="0D0D0D" w:themeColor="text1" w:themeTint="F2"/>
          <w:sz w:val="27"/>
          <w:szCs w:val="27"/>
        </w:rPr>
      </w:pP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>АДМІНІСТРАТИВНОЇ ПОСЛУГИ</w:t>
      </w:r>
    </w:p>
    <w:p>
      <w:pPr>
        <w:pStyle w:val="P1"/>
        <w:jc w:val="center"/>
        <w:rPr>
          <w:rFonts w:ascii="Times New Roman" w:hAnsi="Times New Roman"/>
          <w:color w:val="0D0D0D" w:themeColor="text1" w:themeTint="F2"/>
          <w:sz w:val="27"/>
          <w:szCs w:val="27"/>
        </w:rPr>
      </w:pPr>
      <w:r>
        <w:rPr>
          <w:b w:val="1"/>
          <w:bCs w:val="1"/>
          <w:color w:val="0D0D0D" w:themeColor="text1" w:themeTint="F2"/>
        </w:rPr>
        <w:t xml:space="preserve">Надання електронної публічної послуги з призначення одноразової грошової допомоги </w:t>
      </w:r>
      <w:r>
        <w:rPr>
          <w:b w:val="1"/>
          <w:bCs w:val="1"/>
          <w:color w:val="0D0D0D" w:themeColor="text1" w:themeTint="F2"/>
          <w:lang w:val="ru-RU"/>
        </w:rPr>
        <w:br w:type="textWrapping"/>
      </w:r>
      <w:r>
        <w:rPr>
          <w:b w:val="1"/>
          <w:bCs w:val="1"/>
          <w:color w:val="0D0D0D" w:themeColor="text1" w:themeTint="F2"/>
        </w:rPr>
        <w:t>у разі встановлення інвалідності або загибелі (смерті) військовослужбовців, осіб, звільнених з військової служби, відповідно до Закону України “Про статус ветеранів війни, гарантії їх соціального захисту”</w:t>
      </w:r>
    </w:p>
    <w:tbl>
      <w:tblPr>
        <w:tblStyle w:val="T2"/>
        <w:tblW w:w="14674" w:type="dxa"/>
        <w:tblInd w:w="62" w:type="dxa"/>
        <w:tblLayout w:type="fixed"/>
        <w:tblLook w:val="04A0"/>
      </w:tblPr>
      <w:tblGrid>
        <w:gridCol w:w="810"/>
        <w:gridCol w:w="5005"/>
        <w:gridCol w:w="2759"/>
        <w:gridCol w:w="3028"/>
        <w:gridCol w:w="3072"/>
      </w:tblGrid>
      <w:tr>
        <w:trPr>
          <w:tblHeader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№ з/п</w:t>
            </w:r>
          </w:p>
        </w:tc>
        <w:tc>
          <w:tcPr>
            <w:tcW w:w="5005" w:type="dxa"/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Етапи опрацювання звернення про надання послуги</w:t>
            </w:r>
          </w:p>
        </w:tc>
        <w:tc>
          <w:tcPr>
            <w:tcW w:w="2759" w:type="dxa"/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Відповідальна посадова особа суб’єкта надання послуги</w:t>
            </w:r>
          </w:p>
        </w:tc>
        <w:tc>
          <w:tcPr>
            <w:tcW w:w="30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073" w:type="dxa"/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Строки виконання етапів опрацювання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1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Подання електронної заяви на отримання обраної електронної публічної послуги засобами Єдиного державного вебпорталу електронних послуг (далі – Портал Дія). Верифікація даних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У момент звернення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2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Формування електронної заяви на отримання обраної електронної публічної послуги засобами Порталу Дія та накладення кваліфікованого електронного підпису або удосконаленого електронного підпису, що базується на кваліфікованому сертифікаті електронного підпису заявника (далі – Заява)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У момент звернення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3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Надходження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Заяви у електронний кабінет уповноваженої (відповідальної) особи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3073" w:type="dxa"/>
          </w:tcPr>
          <w:p>
            <w:pP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Після формування Заяви</w:t>
            </w:r>
          </w:p>
        </w:tc>
      </w:tr>
      <w:tr>
        <w:trPr>
          <w:trHeight w:hRule="atLeast" w:val="2464"/>
        </w:trP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4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Перевірка достовірності та повноти відомостей, що містяться у Заяві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Протягом 10–15 робочих днів з дня надходження Заяви або надходження уточненої інформації стосовно заявника до Міністерства у справах ветеранів України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5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Відправлення Заяви на розгляд членам </w:t>
            </w:r>
            <w:r>
              <w:rPr>
                <w:rFonts w:ascii="Times New Roman" w:hAnsi="Times New Roman"/>
                <w:bCs w:val="1"/>
                <w:sz w:val="27"/>
                <w:szCs w:val="27"/>
              </w:rPr>
              <w:t xml:space="preserve">комісії з питань розгляду матеріалів про 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 (далі – комісія)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для попереднього розгляду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iCs w:val="1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Після перевірки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6</w:t>
            </w:r>
          </w:p>
        </w:tc>
        <w:tc>
          <w:tcPr>
            <w:tcW w:w="5005" w:type="dxa"/>
          </w:tcPr>
          <w:p>
            <w:pPr>
              <w:keepLines w:val="1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 xml:space="preserve">Попередній розгляд Заяви, перевірка відомостей, що містяться у Заяві, членами комісії,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надання рекомендацій щодо призначення/відмови у призначенні одноразової грошової допомоги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Посадові особи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члени комісії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Міністерства у справах ветеранів України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Департамент соціальної політики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lang w:val="ru-RU"/>
              </w:rPr>
              <w:br w:type="textWrapping"/>
            </w:r>
            <w:r>
              <w:rPr>
                <w:rFonts w:ascii="Times New Roman" w:hAnsi="Times New Roman"/>
                <w:sz w:val="27"/>
                <w:szCs w:val="27"/>
              </w:rPr>
              <w:t>Юридичне управління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 w:type="textWrapping"/>
            </w:r>
            <w:r>
              <w:rPr>
                <w:rFonts w:ascii="Times New Roman" w:hAnsi="Times New Roman"/>
                <w:sz w:val="27"/>
                <w:szCs w:val="27"/>
              </w:rPr>
              <w:t>Департамент фінансів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 w:type="textWrapping"/>
            </w:r>
            <w:r>
              <w:rPr>
                <w:rFonts w:ascii="Times New Roman" w:hAnsi="Times New Roman"/>
                <w:sz w:val="27"/>
                <w:szCs w:val="27"/>
              </w:rPr>
              <w:t>Сектор з питань запобігання та виявлення корупції</w:t>
            </w:r>
            <w:r>
              <w:rPr>
                <w:rFonts w:ascii="Times New Roman" w:hAnsi="Times New Roman"/>
                <w:sz w:val="27"/>
                <w:szCs w:val="27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Міністерства у справах ветеранів України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Протягом 5–7 робочих днів з дня надходження Заяви або надходження уточненої інформації стосовно заявника до Міністерства у справах ветеранів України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7</w:t>
            </w:r>
          </w:p>
        </w:tc>
        <w:tc>
          <w:tcPr>
            <w:tcW w:w="5005" w:type="dxa"/>
          </w:tcPr>
          <w:p>
            <w:pPr>
              <w:tabs>
                <w:tab w:val="left" w:pos="358" w:leader="none"/>
                <w:tab w:val="left" w:pos="449" w:leader="none"/>
              </w:tabs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Прийняття рішення про призначення/відмову у призначенні одноразової грошової допомоги та його оформлення у формі наказу Мінветеранів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Керівник або уповноважена особа Міністерства у справах ветеранів України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Міністерство у справах ветеранів України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Протягом п’яти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робочих днів</w:t>
            </w:r>
          </w:p>
        </w:tc>
      </w:tr>
      <w:tr>
        <w:tc>
          <w:tcPr>
            <w:tcW w:w="810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8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Автоматична передача результату заявнику (електронне повідомлення про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призначення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/наказ про відмову у призначенні)</w:t>
            </w:r>
          </w:p>
        </w:tc>
        <w:tc>
          <w:tcPr>
            <w:tcW w:w="2759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28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  <w:shd w:val="clear" w:color="auto" w:fill="FFFFFF"/>
              </w:rPr>
              <w:t>Портал Дія</w:t>
            </w:r>
          </w:p>
        </w:tc>
        <w:tc>
          <w:tcPr>
            <w:tcW w:w="3073" w:type="dxa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Після підписання відповідного наказу</w:t>
            </w:r>
          </w:p>
        </w:tc>
      </w:tr>
      <w:tr>
        <w:tc>
          <w:tcPr>
            <w:tcW w:w="14674" w:type="dxa"/>
            <w:gridSpan w:val="5"/>
          </w:tcPr>
          <w:p>
            <w:pPr>
              <w:jc w:val="center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Fonts w:ascii="Times New Roman" w:hAnsi="Times New Roman"/>
                <w:b w:val="1"/>
                <w:color w:val="0D0D0D" w:themeColor="text1" w:themeTint="F2"/>
                <w:sz w:val="27"/>
                <w:szCs w:val="27"/>
              </w:rPr>
              <w:t>Оскарження результату надання послуги</w:t>
            </w:r>
          </w:p>
        </w:tc>
      </w:tr>
      <w:tr>
        <w:tc>
          <w:tcPr>
            <w:tcW w:w="14674" w:type="dxa"/>
            <w:gridSpan w:val="5"/>
          </w:tcPr>
          <w:p>
            <w:pPr>
              <w:jc w:val="both"/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</w:pPr>
            <w:r>
              <w:rPr>
                <w:rStyle w:val="C3"/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Дії або бездіяльність адміністратора центру надання адміністративних послуг та/або посадової особи </w:t>
            </w:r>
            <w:r>
              <w:rPr>
                <w:rFonts w:ascii="Times New Roman" w:hAnsi="Times New Roman"/>
                <w:color w:val="0D0D0D" w:themeColor="text1" w:themeTint="F2"/>
                <w:sz w:val="27"/>
                <w:szCs w:val="27"/>
              </w:rPr>
              <w:t>Міністерства у справах ветеранів України</w:t>
            </w:r>
            <w:r>
              <w:rPr>
                <w:rStyle w:val="C3"/>
                <w:rFonts w:ascii="Times New Roman" w:hAnsi="Times New Roman"/>
                <w:color w:val="0D0D0D" w:themeColor="text1" w:themeTint="F2"/>
                <w:sz w:val="27"/>
                <w:szCs w:val="27"/>
              </w:rPr>
              <w:t xml:space="preserve"> можуть бути оскаржені до суду в порядку, встановленому законом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240" w:beforeAutospacing="0" w:afterAutospacing="0"/>
        <w:jc w:val="both"/>
        <w:rPr>
          <w:rFonts w:ascii="Times New Roman" w:hAnsi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/>
          <w:color w:val="0D0D0D" w:themeColor="text1" w:themeTint="F2"/>
          <w:sz w:val="27"/>
          <w:szCs w:val="27"/>
        </w:rPr>
        <w:t>Термін надання адміністративної послуги визначений нормативно-правовими актами: 30 календарних днів.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rFonts w:ascii="Times New Roman" w:hAnsi="Times New Roman"/>
          <w:color w:val="0D0D0D" w:themeColor="text1" w:themeTint="F2"/>
          <w:sz w:val="27"/>
          <w:szCs w:val="27"/>
        </w:rPr>
      </w:pPr>
      <w:bookmarkStart w:id="2" w:name="_Hlk172650377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</w:pP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 xml:space="preserve">Заступник </w:t>
      </w: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>д</w:t>
      </w: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>иректор</w:t>
      </w: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>а</w:t>
      </w: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 xml:space="preserve"> Департаменту </w:t>
      </w: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 xml:space="preserve">- начальник відділу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rFonts w:ascii="Times New Roman" w:hAnsi="Times New Roman"/>
          <w:b w:val="1"/>
          <w:color w:val="0D0D0D" w:themeColor="text1" w:themeTint="F2"/>
          <w:sz w:val="27"/>
          <w:szCs w:val="27"/>
        </w:rPr>
      </w:pP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 xml:space="preserve">розвитку інформаційних систем Департаменту </w:t>
      </w: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 xml:space="preserve">цифрового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jc w:val="both"/>
        <w:rPr>
          <w:rFonts w:ascii="Times New Roman" w:hAnsi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>розвитку та трансформації</w:t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ab/>
        <w:tab/>
        <w:tab/>
        <w:tab/>
        <w:tab/>
        <w:tab/>
      </w:r>
      <w:r>
        <w:rPr>
          <w:rFonts w:ascii="Times New Roman" w:hAnsi="Times New Roman"/>
          <w:b w:val="1"/>
          <w:color w:val="0D0D0D" w:themeColor="text1" w:themeTint="F2"/>
          <w:sz w:val="27"/>
          <w:szCs w:val="27"/>
        </w:rPr>
        <w:t xml:space="preserve">  </w:t>
      </w:r>
      <w:bookmarkEnd w:id="2"/>
      <w:r>
        <w:rPr>
          <w:rFonts w:ascii="Times New Roman" w:hAnsi="Times New Roman"/>
          <w:b w:val="1"/>
          <w:smallCaps w:val="0"/>
          <w:color w:val="0D0D0D" w:themeColor="dark1" w:themeTint="F2"/>
          <w:sz w:val="27"/>
          <w:szCs w:val="22"/>
          <w:cs w:val="0"/>
          <w:spacing w:val="0"/>
          <w:w w:val="100"/>
          <w:position w:val="0"/>
          <w:snapToGrid w:val="1"/>
        </w:rPr>
        <w:t xml:space="preserve"> Віталій БІЛОУСОВ</w:t>
      </w:r>
    </w:p>
    <w:sectPr>
      <w:headerReference w:type="default" r:id="RelHdr1"/>
      <w:footnotePr/>
      <w:endnotePr/>
      <w:type w:val="nextPage"/>
      <w:pgSz w:w="16838" w:h="11906" w:code="0" w:orient="landscape"/>
      <w:pgMar w:left="1276" w:right="851" w:top="1134" w:bottom="1276" w:header="510" w:footer="709" w:gutter="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  <w:rPr>
        <w:rFonts w:ascii="Times New Roman" w:hAnsi="Times New Roman"/>
        <w:sz w:val="27"/>
        <w:szCs w:val="27"/>
      </w:rPr>
    </w:pPr>
    <w:r>
      <w:rPr>
        <w:rFonts w:ascii="Times New Roman" w:hAnsi="Times New Roman"/>
        <w:sz w:val="27"/>
        <w:szCs w:val="27"/>
      </w:rPr>
      <w:fldChar w:fldCharType="begin"/>
    </w:r>
    <w:r>
      <w:rPr>
        <w:rFonts w:ascii="Times New Roman" w:hAnsi="Times New Roman"/>
        <w:sz w:val="27"/>
        <w:szCs w:val="27"/>
      </w:rPr>
      <w:instrText xml:space="preserve">PAGE   \* MERGEFORMAT</w:instrText>
    </w:r>
    <w:r>
      <w:rPr>
        <w:rFonts w:ascii="Times New Roman" w:hAnsi="Times New Roman"/>
        <w:sz w:val="27"/>
        <w:szCs w:val="27"/>
      </w:rPr>
      <w:fldChar w:fldCharType="separate"/>
    </w:r>
    <w:r>
      <w:rPr>
        <w:rFonts w:ascii="Times New Roman" w:hAnsi="Times New Roman"/>
        <w:sz w:val="27"/>
        <w:szCs w:val="27"/>
      </w:rPr>
      <w:t>#</w:t>
    </w:r>
    <w:r>
      <w:rPr>
        <w:rFonts w:ascii="Times New Roman" w:hAnsi="Times New Roman"/>
        <w:sz w:val="27"/>
        <w:szCs w:val="27"/>
      </w:rPr>
      <w:fldChar w:fldCharType="end"/>
    </w:r>
  </w:p>
  <w:p>
    <w:pPr>
      <w:pStyle w:val="P2"/>
      <w:rPr>
        <w:rFonts w:ascii="Times New Roman" w:hAnsi="Times New Roman"/>
        <w:sz w:val="27"/>
        <w:szCs w:val="27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Bookman Old Style" w:hAnsi="Bookman Old Style"/>
      <w:sz w:val="24"/>
      <w:szCs w:val="24"/>
      <w:lang w:eastAsia="en-US"/>
    </w:rPr>
  </w:style>
  <w:style w:type="paragraph" w:styleId="P1">
    <w:name w:val="Body Text"/>
    <w:basedOn w:val="P0"/>
    <w:link w:val="C4"/>
    <w:qFormat/>
    <w:pPr>
      <w:widowControl w:val="0"/>
    </w:pPr>
    <w:rPr>
      <w:rFonts w:ascii="Times New Roman" w:hAnsi="Times New Roman"/>
      <w:sz w:val="27"/>
      <w:szCs w:val="27"/>
    </w:rPr>
  </w:style>
  <w:style w:type="paragraph" w:styleId="P2">
    <w:name w:val="Header"/>
    <w:basedOn w:val="P0"/>
    <w:link w:val="C5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6"/>
    <w:pPr>
      <w:tabs>
        <w:tab w:val="center" w:pos="4819" w:leader="none"/>
        <w:tab w:val="right" w:pos="9639" w:leader="none"/>
      </w:tabs>
    </w:pPr>
    <w:rPr/>
  </w:style>
  <w:style w:type="paragraph" w:styleId="P4">
    <w:name w:val="Footnote Text"/>
    <w:link w:val="C8"/>
    <w:semiHidden/>
    <w:pPr>
      <w:spacing w:lineRule="auto" w:line="240" w:after="0"/>
    </w:pPr>
    <w:rPr>
      <w:sz w:val="20"/>
      <w:szCs w:val="20"/>
    </w:rPr>
  </w:style>
  <w:style w:type="paragraph" w:styleId="P5">
    <w:name w:val="Endnote Text"/>
    <w:link w:val="C10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rvts82"/>
    <w:basedOn w:val="C0"/>
    <w:rPr/>
  </w:style>
  <w:style w:type="character" w:styleId="C4">
    <w:name w:val="Основний текст Знак"/>
    <w:basedOn w:val="C0"/>
    <w:link w:val="P1"/>
    <w:rPr>
      <w:rFonts w:ascii="Times New Roman" w:hAnsi="Times New Roman"/>
      <w:sz w:val="27"/>
      <w:szCs w:val="27"/>
      <w:lang w:eastAsia="en-US"/>
    </w:rPr>
  </w:style>
  <w:style w:type="character" w:styleId="C5">
    <w:name w:val="Верхній колонтитул Знак"/>
    <w:basedOn w:val="C0"/>
    <w:link w:val="P2"/>
    <w:rPr>
      <w:rFonts w:ascii="Bookman Old Style" w:hAnsi="Bookman Old Style"/>
      <w:sz w:val="24"/>
      <w:szCs w:val="24"/>
      <w:lang w:eastAsia="en-US"/>
    </w:rPr>
  </w:style>
  <w:style w:type="character" w:styleId="C6">
    <w:name w:val="Нижній колонтитул Знак"/>
    <w:basedOn w:val="C0"/>
    <w:link w:val="P3"/>
    <w:rPr>
      <w:rFonts w:ascii="Bookman Old Style" w:hAnsi="Bookman Old Style"/>
      <w:sz w:val="24"/>
      <w:szCs w:val="24"/>
      <w:lang w:eastAsia="en-US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4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Щиголь Тетяна Влодимирівна</dc:creator>
  <dcterms:created xsi:type="dcterms:W3CDTF">2025-10-20T06:38:00Z</dcterms:created>
  <cp:lastModifiedBy>pool-iis</cp:lastModifiedBy>
  <cp:lastPrinted>2025-10-23T07:17:00Z</cp:lastPrinted>
  <dcterms:modified xsi:type="dcterms:W3CDTF">2025-10-27T09:04:51Z</dcterms:modified>
  <cp:revision>13</cp:revision>
</cp:coreProperties>
</file>