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AC1A" w14:textId="77777777" w:rsidR="00417CEE" w:rsidRDefault="00153E84">
      <w:pPr>
        <w:spacing w:after="120" w:line="240" w:lineRule="auto"/>
        <w:ind w:left="2880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ЗАТВЕРДЖЕНО</w:t>
      </w:r>
      <w:r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постановою Кабінету Міністрів України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br/>
        <w:t xml:space="preserve">від    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2025 р. №</w:t>
      </w:r>
    </w:p>
    <w:p w14:paraId="06F80EA2" w14:textId="77777777" w:rsidR="00417CEE" w:rsidRDefault="00417CEE">
      <w:pPr>
        <w:spacing w:after="12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</w:p>
    <w:p w14:paraId="7555FE44" w14:textId="77777777" w:rsidR="00417CEE" w:rsidRDefault="00417CE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F08775A" w14:textId="77777777" w:rsidR="00417CEE" w:rsidRDefault="00153E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ПОРЯДОК</w:t>
      </w:r>
    </w:p>
    <w:p w14:paraId="02D7B342" w14:textId="77777777" w:rsidR="00417CEE" w:rsidRDefault="00153E8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повернення фінансової державної підтримки</w:t>
      </w:r>
    </w:p>
    <w:p w14:paraId="28048C52" w14:textId="77777777" w:rsidR="00417CEE" w:rsidRDefault="00153E8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у зв’язку з позбавленням або припиненням статусу </w:t>
      </w:r>
    </w:p>
    <w:p w14:paraId="5187F91C" w14:textId="77777777" w:rsidR="00417CEE" w:rsidRDefault="00153E8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суб’єкта ветеранського підприємництва</w:t>
      </w:r>
    </w:p>
    <w:p w14:paraId="686C976A" w14:textId="03F28ABD" w:rsidR="00417CEE" w:rsidRDefault="00153E84">
      <w:pPr>
        <w:pStyle w:val="a9"/>
        <w:numPr>
          <w:ilvl w:val="0"/>
          <w:numId w:val="2"/>
        </w:numPr>
        <w:spacing w:before="120"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Цей Порядок визначає умови та механізм повернення фінансової державної підтримки, наданої суб’єктам ветеранського підприємництва</w:t>
      </w:r>
      <w:r>
        <w:rPr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Мінветеранів через бюджетну установу “Український ветеранський фонд”</w:t>
      </w:r>
      <w:r>
        <w:rPr>
          <w:rFonts w:ascii="Times New Roman" w:hAnsi="Times New Roman"/>
          <w:color w:val="000000" w:themeColor="dark1"/>
          <w:sz w:val="28"/>
          <w:szCs w:val="22"/>
          <w:lang w:val="uk-UA"/>
        </w:rPr>
        <w:t xml:space="preserve"> (далі </w:t>
      </w:r>
      <w:r>
        <w:rPr>
          <w:rFonts w:ascii="Times New Roman" w:hAnsi="Times New Roman"/>
          <w:sz w:val="28"/>
          <w:szCs w:val="22"/>
          <w:lang w:val="uk-UA"/>
        </w:rPr>
        <w:t xml:space="preserve">— Фонд),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іншими органами виконавчої влади, органами місцевого самоврядування, Українським фондом підтримки підприємництва, загальнодержавними, регіональними, місцевими фондами підтримки підприємництва та іншим підприємствам, установам та організаціями відповідно </w:t>
      </w:r>
      <w:r>
        <w:rPr>
          <w:rFonts w:ascii="Times New Roman" w:hAnsi="Times New Roman"/>
          <w:color w:val="000000" w:themeColor="dark1"/>
          <w:sz w:val="28"/>
          <w:szCs w:val="22"/>
          <w:lang w:val="uk-UA"/>
        </w:rPr>
        <w:t xml:space="preserve">до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статті 16 Закону України “Про ветеранське підприємництво”, у зв’язку з позбавленням або припиненням статусу суб’єкта ветеранського підприємництва.</w:t>
      </w:r>
    </w:p>
    <w:p w14:paraId="28F99B18" w14:textId="77777777" w:rsidR="00417CEE" w:rsidRDefault="00153E84">
      <w:pPr>
        <w:spacing w:before="120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2. У цьому Порядку терміни “позбавлення статусу суб’єкта ветеранського підприємництва”, “припинення статусу суб’єкта ветеранського підприємництва” вживаються у значенні, визначеному Законами України “Про ветеранське підприємництво”, “Про статус ветеранів війни, гарантії їх соціального захисту”, Порядком надання, позбавлення, припинення та поновлення статусу суб’єкта ветеранського підприємництва,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затвердженим постановою Кабінету Міністрів України </w:t>
      </w:r>
      <w:r>
        <w:rPr>
          <w:rFonts w:ascii="Times New Roman" w:hAnsi="Times New Roman"/>
          <w:sz w:val="28"/>
          <w:szCs w:val="22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         2025 р. №  </w:t>
      </w:r>
      <w:r>
        <w:rPr>
          <w:rFonts w:ascii="Times New Roman" w:hAnsi="Times New Roman"/>
          <w:sz w:val="28"/>
          <w:szCs w:val="22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(Офіційний вісник України, 2025 р., №  , ст.  )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</w:p>
    <w:p w14:paraId="0ABFBC8B" w14:textId="77777777" w:rsidR="00417CEE" w:rsidRDefault="00153E84">
      <w:pPr>
        <w:spacing w:before="120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Повернення фінансової державної підтримки, наданої суб’єктам ветеранського підприємництва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Мінветеранів </w:t>
      </w:r>
      <w:r>
        <w:rPr>
          <w:rFonts w:ascii="Times New Roman" w:hAnsi="Times New Roman"/>
          <w:sz w:val="28"/>
          <w:szCs w:val="28"/>
          <w:lang w:val="uk-UA"/>
        </w:rPr>
        <w:t>через Фонд</w:t>
      </w:r>
      <w:r>
        <w:rPr>
          <w:rFonts w:ascii="Times New Roman" w:hAnsi="Times New Roman"/>
          <w:sz w:val="28"/>
          <w:szCs w:val="22"/>
          <w:lang w:val="uk-UA"/>
        </w:rPr>
        <w:t xml:space="preserve">, </w:t>
      </w:r>
      <w:r>
        <w:rPr>
          <w:rFonts w:ascii="Times New Roman" w:hAnsi="Times New Roman"/>
          <w:color w:val="000000" w:themeColor="dark1"/>
          <w:sz w:val="28"/>
          <w:szCs w:val="22"/>
          <w:lang w:val="uk-UA"/>
        </w:rPr>
        <w:t>іншими органами виконавчої влади, органами місцевого самоврядування, Українським фондом підтримки підприємництва, загальнодержавними, регіональними, місцевими фондами підтримки підприємництва та іншим підприємствам, установам та організаціями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, здійснюється суб’єктом ветеранського підприємництва протягом п’ятнадцяти робочих днів з дня позбавлення або припинення статусу суб’єкта ветеранського підприємництва визнач</w:t>
      </w:r>
      <w:r>
        <w:rPr>
          <w:rFonts w:ascii="Times New Roman" w:hAnsi="Times New Roman"/>
          <w:color w:val="000000" w:themeColor="dark1"/>
          <w:sz w:val="28"/>
          <w:szCs w:val="22"/>
          <w:lang w:val="uk-UA"/>
        </w:rPr>
        <w:t>ається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Порядком надання, позбавлення, припинення та поновлення статусу суб’єкта ветеранського підприємництва,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затвердженим постановою Кабінету Міністрів України від          2025 р. № 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</w:p>
    <w:p w14:paraId="78B0C548" w14:textId="4B735066" w:rsidR="00417CEE" w:rsidRDefault="00153E84">
      <w:pPr>
        <w:spacing w:before="120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4. Поверненню підлягає </w:t>
      </w:r>
      <w:r w:rsidR="00611DD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фінансова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державна підтримка (її частина), що залишилась невикористаною суб’єктом ветеранського підприємництва станом на дату позбавлення або припинення статусу суб’єкта ветеранського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підприємництва, окрім випадків, прямо передбачених відповідними договорами про надання державної підтримки.</w:t>
      </w:r>
    </w:p>
    <w:p w14:paraId="308D627A" w14:textId="40AE136A" w:rsidR="00417CEE" w:rsidRDefault="00153E84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У разі</w:t>
      </w:r>
      <w:r>
        <w:rPr>
          <w:rFonts w:ascii="Times New Roman" w:hAnsi="Times New Roman"/>
          <w:sz w:val="28"/>
          <w:szCs w:val="22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якщо </w:t>
      </w:r>
      <w:r w:rsidR="00611DDE">
        <w:rPr>
          <w:rFonts w:ascii="Times New Roman" w:hAnsi="Times New Roman"/>
          <w:sz w:val="28"/>
          <w:szCs w:val="28"/>
          <w:lang w:val="uk-UA"/>
        </w:rPr>
        <w:t xml:space="preserve">фінансова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державна підтримка надавалась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суб’єкту ветеранського підприємництва</w:t>
      </w:r>
      <w:r>
        <w:rPr>
          <w:rFonts w:ascii="Times New Roman" w:hAnsi="Times New Roman"/>
          <w:sz w:val="28"/>
          <w:szCs w:val="28"/>
          <w:lang w:val="uk-UA"/>
        </w:rPr>
        <w:t xml:space="preserve"> поетапно (частинами), після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позбавлення або припинення статусу суб’єкта ветеранського підприємництва</w:t>
      </w:r>
      <w:r>
        <w:rPr>
          <w:rFonts w:ascii="Times New Roman" w:hAnsi="Times New Roman"/>
          <w:color w:val="000000" w:themeColor="dark1"/>
          <w:sz w:val="28"/>
          <w:szCs w:val="22"/>
          <w:lang w:val="uk-UA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надання чергової частини</w:t>
      </w:r>
      <w:r w:rsidR="00611DD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фінансової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державної підтримки не здійснюється. </w:t>
      </w:r>
    </w:p>
    <w:p w14:paraId="3B07BDF5" w14:textId="63D0DFF3" w:rsidR="00417CEE" w:rsidRDefault="00153E84">
      <w:pPr>
        <w:spacing w:before="120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6. Повернення </w:t>
      </w:r>
      <w:r w:rsidR="00611DD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фінансової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державної підтримки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здійснюється суб’єктом ветеранського підприємництва, якого було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позбавлено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статусу або статус якого було припинено, шляхом перерахування невикористаних </w:t>
      </w:r>
      <w:r w:rsidR="00F83A17">
        <w:rPr>
          <w:rFonts w:ascii="Times New Roman" w:hAnsi="Times New Roman"/>
          <w:color w:val="000000" w:themeColor="text1"/>
          <w:sz w:val="28"/>
          <w:szCs w:val="28"/>
          <w:lang w:val="uk-UA"/>
        </w:rPr>
        <w:t>коштів</w:t>
      </w:r>
      <w:r w:rsidR="00611DD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фінансової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державної підтримки зі свого рахунку на реєстраційний рахунок Фонду, </w:t>
      </w:r>
      <w:r>
        <w:rPr>
          <w:rFonts w:ascii="Times New Roman" w:hAnsi="Times New Roman"/>
          <w:sz w:val="28"/>
          <w:szCs w:val="28"/>
          <w:lang w:val="uk-UA"/>
        </w:rPr>
        <w:t xml:space="preserve">іншого центрального органу виконавчої влади,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місцевої державної (військової) адміністрації, відкритий в органі Державної казначейської служби України.   </w:t>
      </w:r>
    </w:p>
    <w:p w14:paraId="330F3F77" w14:textId="16F48A03" w:rsidR="00417CEE" w:rsidRDefault="00153E84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7. У разі</w:t>
      </w:r>
      <w:r w:rsidR="00F83A17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якщо до дня позбавлення або припинення статусу суб’єкта ветеранського </w:t>
      </w:r>
      <w:r>
        <w:rPr>
          <w:rFonts w:ascii="Times New Roman" w:hAnsi="Times New Roman"/>
          <w:sz w:val="28"/>
          <w:szCs w:val="28"/>
          <w:lang w:val="uk-UA"/>
        </w:rPr>
        <w:t>підприємництва</w:t>
      </w:r>
      <w:r>
        <w:rPr>
          <w:rFonts w:ascii="Times New Roman" w:hAnsi="Times New Roman"/>
          <w:sz w:val="28"/>
          <w:szCs w:val="22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1DDE">
        <w:rPr>
          <w:rFonts w:ascii="Times New Roman" w:hAnsi="Times New Roman"/>
          <w:sz w:val="28"/>
          <w:szCs w:val="28"/>
          <w:lang w:val="uk-UA"/>
        </w:rPr>
        <w:t xml:space="preserve">фінансова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державна підтримка була використана за цільовим призначенням в повному обсязі, </w:t>
      </w:r>
      <w:r w:rsidR="00F83A17">
        <w:rPr>
          <w:rFonts w:ascii="Times New Roman" w:hAnsi="Times New Roman"/>
          <w:sz w:val="28"/>
          <w:szCs w:val="28"/>
          <w:lang w:val="uk-UA"/>
        </w:rPr>
        <w:t>кошти</w:t>
      </w:r>
      <w:r w:rsidR="00611DDE">
        <w:rPr>
          <w:rFonts w:ascii="Times New Roman" w:hAnsi="Times New Roman"/>
          <w:sz w:val="28"/>
          <w:szCs w:val="28"/>
          <w:lang w:val="uk-UA"/>
        </w:rPr>
        <w:t xml:space="preserve"> фінансової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державної підтримки не повертаються.</w:t>
      </w:r>
    </w:p>
    <w:p w14:paraId="6B027B70" w14:textId="021BBA3F" w:rsidR="00417CEE" w:rsidRDefault="00153E84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 разі припинення статусу суб’єкта ветеранського підприємництва у зв’язку з завершенням періоду, на який набува</w:t>
      </w:r>
      <w:r>
        <w:rPr>
          <w:rFonts w:ascii="Times New Roman" w:hAnsi="Times New Roman"/>
          <w:sz w:val="28"/>
          <w:szCs w:val="22"/>
          <w:lang w:val="uk-UA"/>
        </w:rPr>
        <w:t>вся</w:t>
      </w:r>
      <w:r>
        <w:rPr>
          <w:rFonts w:ascii="Times New Roman" w:hAnsi="Times New Roman"/>
          <w:sz w:val="28"/>
          <w:szCs w:val="28"/>
          <w:lang w:val="uk-UA"/>
        </w:rPr>
        <w:t xml:space="preserve"> статус суб’єкта ветеранського підприємництва, невикористана частина</w:t>
      </w:r>
      <w:r w:rsidR="00611D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4C00">
        <w:rPr>
          <w:rFonts w:ascii="Times New Roman" w:hAnsi="Times New Roman"/>
          <w:sz w:val="28"/>
          <w:szCs w:val="28"/>
          <w:lang w:val="uk-UA"/>
        </w:rPr>
        <w:t xml:space="preserve">коштів </w:t>
      </w:r>
      <w:r w:rsidR="00611DDE">
        <w:rPr>
          <w:rFonts w:ascii="Times New Roman" w:hAnsi="Times New Roman"/>
          <w:sz w:val="28"/>
          <w:szCs w:val="28"/>
          <w:lang w:val="uk-UA"/>
        </w:rPr>
        <w:t>фінансової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державної підтримки не повертається за умови поновлення статусу суб’єкта ветеранського підприємництва на наступний період. </w:t>
      </w:r>
    </w:p>
    <w:p w14:paraId="59467544" w14:textId="6ADFC4CE" w:rsidR="00417CEE" w:rsidRDefault="00153E84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9. У разі неповернення суб’єктом ветеранського підприємництва, якого було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позбавлено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статусу або статус якого було припинено, </w:t>
      </w:r>
      <w:r>
        <w:rPr>
          <w:rFonts w:ascii="Times New Roman" w:hAnsi="Times New Roman"/>
          <w:sz w:val="28"/>
          <w:szCs w:val="28"/>
          <w:lang w:val="uk-UA"/>
        </w:rPr>
        <w:t xml:space="preserve">невикористаної </w:t>
      </w:r>
      <w:r w:rsidR="00611DDE">
        <w:rPr>
          <w:rFonts w:ascii="Times New Roman" w:hAnsi="Times New Roman"/>
          <w:sz w:val="28"/>
          <w:szCs w:val="28"/>
          <w:lang w:val="uk-UA"/>
        </w:rPr>
        <w:t xml:space="preserve">фінансової </w:t>
      </w:r>
      <w:r>
        <w:rPr>
          <w:rFonts w:ascii="Times New Roman" w:hAnsi="Times New Roman"/>
          <w:sz w:val="28"/>
          <w:szCs w:val="28"/>
          <w:lang w:val="uk-UA"/>
        </w:rPr>
        <w:t>державної підтримки</w:t>
      </w:r>
      <w:r>
        <w:rPr>
          <w:rFonts w:ascii="Times New Roman" w:hAnsi="Times New Roman"/>
          <w:sz w:val="28"/>
          <w:szCs w:val="22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така сума вважається заборгованістю</w:t>
      </w:r>
      <w:r>
        <w:rPr>
          <w:rFonts w:ascii="Times New Roman" w:hAnsi="Times New Roman"/>
          <w:sz w:val="28"/>
          <w:szCs w:val="22"/>
          <w:lang w:val="uk-UA"/>
        </w:rPr>
        <w:t>, яка підлягає стягненню</w:t>
      </w:r>
      <w:r>
        <w:rPr>
          <w:rFonts w:ascii="Times New Roman" w:hAnsi="Times New Roman"/>
          <w:sz w:val="28"/>
          <w:szCs w:val="28"/>
          <w:lang w:val="uk-UA"/>
        </w:rPr>
        <w:t xml:space="preserve"> у судовому порядку.</w:t>
      </w:r>
    </w:p>
    <w:p w14:paraId="7F0D9C06" w14:textId="77777777" w:rsidR="00417CEE" w:rsidRDefault="00153E84">
      <w:pPr>
        <w:spacing w:before="120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10.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Ведення бухгалтерського обліку, відкриття та закриття рахунків, реєстрація, облік бюджетних зобов’язань в органах Державної казначейської служби України та проведення операцій, пов’язаних з використанням бюджетних коштів, здійснюються в установленому законодавством порядку.</w:t>
      </w:r>
    </w:p>
    <w:p w14:paraId="482788B7" w14:textId="77777777" w:rsidR="00417CEE" w:rsidRDefault="00153E84">
      <w:pPr>
        <w:spacing w:before="120" w:after="0" w:line="240" w:lineRule="auto"/>
        <w:ind w:firstLine="567"/>
        <w:jc w:val="both"/>
        <w:rPr>
          <w:rFonts w:ascii="Times New Roman" w:hAnsi="Times New Roman"/>
          <w:color w:val="EE0000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11. Склад</w:t>
      </w:r>
      <w:r>
        <w:rPr>
          <w:rFonts w:ascii="Times New Roman" w:hAnsi="Times New Roman"/>
          <w:color w:val="000000" w:themeColor="dark1"/>
          <w:sz w:val="28"/>
          <w:szCs w:val="22"/>
          <w:lang w:val="uk-UA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ння та подання фінансової і бюджетної звітності про використання бюджетних коштів, а також контроль за їх цільовим та ефективним витрачанням здійснюється в установленому законодавством порядку.</w:t>
      </w:r>
    </w:p>
    <w:p w14:paraId="2FB4BC1C" w14:textId="77777777" w:rsidR="00417CEE" w:rsidRDefault="00417CEE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3A139AA" w14:textId="77777777" w:rsidR="00417CEE" w:rsidRDefault="00153E84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</w:t>
      </w:r>
    </w:p>
    <w:sectPr w:rsidR="00417CEE">
      <w:headerReference w:type="default" r:id="rId8"/>
      <w:pgSz w:w="11901" w:h="16817"/>
      <w:pgMar w:top="1134" w:right="846" w:bottom="1134" w:left="1701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0EAA" w14:textId="77777777" w:rsidR="005F55A7" w:rsidRDefault="005F55A7">
      <w:pPr>
        <w:spacing w:after="0" w:line="240" w:lineRule="auto"/>
      </w:pPr>
    </w:p>
  </w:endnote>
  <w:endnote w:type="continuationSeparator" w:id="0">
    <w:p w14:paraId="46235536" w14:textId="77777777" w:rsidR="005F55A7" w:rsidRDefault="005F55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0B0E" w14:textId="77777777" w:rsidR="005F55A7" w:rsidRDefault="005F55A7">
      <w:pPr>
        <w:spacing w:after="0" w:line="240" w:lineRule="auto"/>
      </w:pPr>
    </w:p>
  </w:footnote>
  <w:footnote w:type="continuationSeparator" w:id="0">
    <w:p w14:paraId="79A9C083" w14:textId="77777777" w:rsidR="005F55A7" w:rsidRDefault="005F55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65E3" w14:textId="77777777" w:rsidR="00417CEE" w:rsidRDefault="00153E84">
    <w:pPr>
      <w:pStyle w:val="ad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uk-UA"/>
      </w:rPr>
      <w:t>#</w:t>
    </w:r>
    <w:r>
      <w:rPr>
        <w:rFonts w:ascii="Times New Roman" w:hAnsi="Times New Roman"/>
        <w:sz w:val="28"/>
        <w:szCs w:val="28"/>
      </w:rPr>
      <w:fldChar w:fldCharType="end"/>
    </w:r>
  </w:p>
  <w:p w14:paraId="0AFF96BA" w14:textId="77777777" w:rsidR="00417CEE" w:rsidRDefault="00417CEE">
    <w:pPr>
      <w:pStyle w:val="ad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1BCB"/>
    <w:multiLevelType w:val="hybridMultilevel"/>
    <w:tmpl w:val="765E5284"/>
    <w:lvl w:ilvl="0" w:tplc="7422A6C4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782267"/>
    <w:multiLevelType w:val="hybridMultilevel"/>
    <w:tmpl w:val="84CCEB4C"/>
    <w:lvl w:ilvl="0" w:tplc="91EC7A10">
      <w:start w:val="1"/>
      <w:numFmt w:val="decimal"/>
      <w:lvlText w:val="%1."/>
      <w:lvlJc w:val="left"/>
      <w:pPr>
        <w:ind w:left="1415" w:hanging="280"/>
      </w:pPr>
      <w:rPr>
        <w:rFonts w:ascii="Times New Roman" w:hAnsi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FEA297C">
      <w:numFmt w:val="bullet"/>
      <w:lvlText w:val="•"/>
      <w:lvlJc w:val="left"/>
      <w:pPr>
        <w:ind w:left="2256" w:hanging="280"/>
      </w:pPr>
      <w:rPr>
        <w:lang w:val="uk-UA" w:eastAsia="en-US" w:bidi="ar-SA"/>
      </w:rPr>
    </w:lvl>
    <w:lvl w:ilvl="2" w:tplc="F6189E42">
      <w:numFmt w:val="bullet"/>
      <w:lvlText w:val="•"/>
      <w:lvlJc w:val="left"/>
      <w:pPr>
        <w:ind w:left="3092" w:hanging="280"/>
      </w:pPr>
      <w:rPr>
        <w:lang w:val="uk-UA" w:eastAsia="en-US" w:bidi="ar-SA"/>
      </w:rPr>
    </w:lvl>
    <w:lvl w:ilvl="3" w:tplc="DE0ADC0C">
      <w:numFmt w:val="bullet"/>
      <w:lvlText w:val="•"/>
      <w:lvlJc w:val="left"/>
      <w:pPr>
        <w:ind w:left="3928" w:hanging="280"/>
      </w:pPr>
      <w:rPr>
        <w:lang w:val="uk-UA" w:eastAsia="en-US" w:bidi="ar-SA"/>
      </w:rPr>
    </w:lvl>
    <w:lvl w:ilvl="4" w:tplc="6F64D91E">
      <w:numFmt w:val="bullet"/>
      <w:lvlText w:val="•"/>
      <w:lvlJc w:val="left"/>
      <w:pPr>
        <w:ind w:left="4764" w:hanging="280"/>
      </w:pPr>
      <w:rPr>
        <w:lang w:val="uk-UA" w:eastAsia="en-US" w:bidi="ar-SA"/>
      </w:rPr>
    </w:lvl>
    <w:lvl w:ilvl="5" w:tplc="070815A4">
      <w:numFmt w:val="bullet"/>
      <w:lvlText w:val="•"/>
      <w:lvlJc w:val="left"/>
      <w:pPr>
        <w:ind w:left="5600" w:hanging="280"/>
      </w:pPr>
      <w:rPr>
        <w:lang w:val="uk-UA" w:eastAsia="en-US" w:bidi="ar-SA"/>
      </w:rPr>
    </w:lvl>
    <w:lvl w:ilvl="6" w:tplc="7666A536">
      <w:numFmt w:val="bullet"/>
      <w:lvlText w:val="•"/>
      <w:lvlJc w:val="left"/>
      <w:pPr>
        <w:ind w:left="6436" w:hanging="280"/>
      </w:pPr>
      <w:rPr>
        <w:lang w:val="uk-UA" w:eastAsia="en-US" w:bidi="ar-SA"/>
      </w:rPr>
    </w:lvl>
    <w:lvl w:ilvl="7" w:tplc="BB4ABED6">
      <w:numFmt w:val="bullet"/>
      <w:lvlText w:val="•"/>
      <w:lvlJc w:val="left"/>
      <w:pPr>
        <w:ind w:left="7272" w:hanging="280"/>
      </w:pPr>
      <w:rPr>
        <w:lang w:val="uk-UA" w:eastAsia="en-US" w:bidi="ar-SA"/>
      </w:rPr>
    </w:lvl>
    <w:lvl w:ilvl="8" w:tplc="9E4EC7BC">
      <w:numFmt w:val="bullet"/>
      <w:lvlText w:val="•"/>
      <w:lvlJc w:val="left"/>
      <w:pPr>
        <w:ind w:left="8108" w:hanging="280"/>
      </w:pPr>
      <w:rPr>
        <w:lang w:val="uk-UA" w:eastAsia="en-US" w:bidi="ar-SA"/>
      </w:rPr>
    </w:lvl>
  </w:abstractNum>
  <w:num w:numId="1" w16cid:durableId="5015620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3616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CEE"/>
    <w:rsid w:val="00153E84"/>
    <w:rsid w:val="00417CEE"/>
    <w:rsid w:val="00464C00"/>
    <w:rsid w:val="004A4AC5"/>
    <w:rsid w:val="004D3543"/>
    <w:rsid w:val="005F55A7"/>
    <w:rsid w:val="0061069A"/>
    <w:rsid w:val="00611DDE"/>
    <w:rsid w:val="007D7C7C"/>
    <w:rsid w:val="008E5549"/>
    <w:rsid w:val="009540A1"/>
    <w:rsid w:val="00F8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F8E8"/>
  <w15:docId w15:val="{6543A1BF-8FCF-4A79-A12E-926CFED3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semiHidden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Intense Quote"/>
    <w:basedOn w:val="a"/>
    <w:next w:val="a"/>
    <w:link w:val="ab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ac">
    <w:name w:val="Нормальний текст"/>
    <w:basedOn w:val="a"/>
    <w:pPr>
      <w:spacing w:before="120" w:after="0" w:line="240" w:lineRule="auto"/>
      <w:ind w:firstLine="567"/>
    </w:pPr>
    <w:rPr>
      <w:rFonts w:ascii="Times New Roman" w:hAnsi="Times New Roman"/>
      <w:sz w:val="28"/>
      <w:szCs w:val="20"/>
      <w:lang w:val="uk-UA" w:eastAsia="uk-UA"/>
    </w:r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hAnsi="Times New Roman"/>
      <w:sz w:val="22"/>
      <w:szCs w:val="22"/>
      <w:lang w:val="uk-UA"/>
    </w:rPr>
  </w:style>
  <w:style w:type="paragraph" w:styleId="ad">
    <w:name w:val="header"/>
    <w:basedOn w:val="a"/>
    <w:link w:val="ae"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footer"/>
    <w:basedOn w:val="a"/>
    <w:link w:val="af0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f1">
    <w:name w:val="Назва документа"/>
    <w:basedOn w:val="a"/>
    <w:next w:val="ac"/>
    <w:pPr>
      <w:keepNext/>
      <w:keepLines/>
      <w:spacing w:before="240" w:after="240" w:line="240" w:lineRule="auto"/>
      <w:jc w:val="center"/>
    </w:pPr>
    <w:rPr>
      <w:rFonts w:ascii="Times New Roman" w:hAnsi="Times New Roman"/>
      <w:b/>
      <w:sz w:val="28"/>
      <w:szCs w:val="20"/>
      <w:lang w:val="uk-UA" w:eastAsia="uk-UA"/>
    </w:rPr>
  </w:style>
  <w:style w:type="paragraph" w:customStyle="1" w:styleId="ShapkaDocumentu">
    <w:name w:val="Shapka Documentu"/>
    <w:basedOn w:val="a"/>
    <w:pPr>
      <w:keepNext/>
      <w:keepLines/>
      <w:spacing w:after="240" w:line="240" w:lineRule="auto"/>
      <w:ind w:left="3969"/>
      <w:jc w:val="center"/>
    </w:pPr>
    <w:rPr>
      <w:rFonts w:ascii="Times New Roman" w:hAnsi="Times New Roman"/>
      <w:sz w:val="28"/>
      <w:szCs w:val="20"/>
      <w:lang w:val="uk-UA" w:eastAsia="uk-UA"/>
    </w:r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paragraph" w:styleId="af6">
    <w:name w:val="Revision"/>
    <w:hidden/>
    <w:semiHidden/>
    <w:pPr>
      <w:spacing w:after="0" w:line="240" w:lineRule="auto"/>
    </w:pPr>
  </w:style>
  <w:style w:type="character" w:styleId="af7">
    <w:name w:val="line number"/>
    <w:basedOn w:val="a0"/>
    <w:semiHidden/>
  </w:style>
  <w:style w:type="character" w:styleId="af8">
    <w:name w:val="Hyperlink"/>
    <w:basedOn w:val="a0"/>
    <w:rPr>
      <w:color w:val="467886" w:themeColor="hyperlink"/>
      <w:u w:val="single"/>
    </w:rPr>
  </w:style>
  <w:style w:type="character" w:customStyle="1" w:styleId="10">
    <w:name w:val="Заголовок 1 Знак"/>
    <w:basedOn w:val="a0"/>
    <w:link w:val="1"/>
    <w:rPr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Pr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Pr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semiHidden/>
    <w:rPr>
      <w:color w:val="0F4761" w:themeColor="accent1" w:themeShade="BF"/>
    </w:rPr>
  </w:style>
  <w:style w:type="character" w:customStyle="1" w:styleId="60">
    <w:name w:val="Заголовок 6 Знак"/>
    <w:basedOn w:val="a0"/>
    <w:link w:val="6"/>
    <w:semiHidden/>
    <w:rPr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semiHidden/>
    <w:rPr>
      <w:color w:val="595959" w:themeColor="text1" w:themeTint="A6"/>
    </w:rPr>
  </w:style>
  <w:style w:type="character" w:customStyle="1" w:styleId="80">
    <w:name w:val="Заголовок 8 Знак"/>
    <w:basedOn w:val="a0"/>
    <w:link w:val="8"/>
    <w:semiHidden/>
    <w:rPr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semiHidden/>
    <w:rPr>
      <w:color w:val="272727" w:themeColor="text1" w:themeTint="D8"/>
    </w:rPr>
  </w:style>
  <w:style w:type="character" w:customStyle="1" w:styleId="a4">
    <w:name w:val="Назва Знак"/>
    <w:basedOn w:val="a0"/>
    <w:link w:val="a3"/>
    <w:rPr>
      <w:spacing w:val="-10"/>
      <w:kern w:val="28"/>
      <w:sz w:val="56"/>
      <w:szCs w:val="56"/>
    </w:rPr>
  </w:style>
  <w:style w:type="character" w:customStyle="1" w:styleId="a6">
    <w:name w:val="Підзаголовок Знак"/>
    <w:basedOn w:val="a0"/>
    <w:link w:val="a5"/>
    <w:rPr>
      <w:color w:val="595959" w:themeColor="text1" w:themeTint="A6"/>
      <w:spacing w:val="15"/>
      <w:sz w:val="28"/>
      <w:szCs w:val="28"/>
    </w:rPr>
  </w:style>
  <w:style w:type="character" w:customStyle="1" w:styleId="a8">
    <w:name w:val="Цитата Знак"/>
    <w:basedOn w:val="a0"/>
    <w:link w:val="a7"/>
    <w:rPr>
      <w:i/>
      <w:iCs/>
      <w:color w:val="404040" w:themeColor="text1" w:themeTint="BF"/>
    </w:rPr>
  </w:style>
  <w:style w:type="character" w:styleId="af9">
    <w:name w:val="Intense Emphasis"/>
    <w:basedOn w:val="a0"/>
    <w:qFormat/>
    <w:rPr>
      <w:i/>
      <w:iCs/>
      <w:color w:val="0F4761" w:themeColor="accent1" w:themeShade="BF"/>
    </w:rPr>
  </w:style>
  <w:style w:type="character" w:customStyle="1" w:styleId="ab">
    <w:name w:val="Насичена цитата Знак"/>
    <w:basedOn w:val="a0"/>
    <w:link w:val="aa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a0"/>
    <w:qFormat/>
    <w:rPr>
      <w:b/>
      <w:bCs/>
      <w:smallCaps/>
      <w:color w:val="0F4761" w:themeColor="accent1" w:themeShade="BF"/>
      <w:spacing w:val="5"/>
    </w:rPr>
  </w:style>
  <w:style w:type="character" w:customStyle="1" w:styleId="UnresolvedMention1">
    <w:name w:val="Unresolved Mention1"/>
    <w:basedOn w:val="a0"/>
    <w:semiHidden/>
    <w:rPr>
      <w:color w:val="605E5C"/>
      <w:shd w:val="clear" w:color="auto" w:fill="E1DFDD"/>
    </w:rPr>
  </w:style>
  <w:style w:type="character" w:customStyle="1" w:styleId="ae">
    <w:name w:val="Верхній колонтитул Знак"/>
    <w:basedOn w:val="a0"/>
    <w:link w:val="ad"/>
  </w:style>
  <w:style w:type="character" w:customStyle="1" w:styleId="af0">
    <w:name w:val="Нижній колонтитул Знак"/>
    <w:basedOn w:val="a0"/>
    <w:link w:val="af"/>
  </w:style>
  <w:style w:type="character" w:styleId="afa">
    <w:name w:val="footnote reference"/>
    <w:semiHidden/>
    <w:rPr>
      <w:vertAlign w:val="superscript"/>
    </w:rPr>
  </w:style>
  <w:style w:type="character" w:customStyle="1" w:styleId="af3">
    <w:name w:val="Текст виноски Знак"/>
    <w:link w:val="af2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інцевої виноски Знак"/>
    <w:link w:val="af4"/>
    <w:semiHidden/>
    <w:rPr>
      <w:sz w:val="20"/>
      <w:szCs w:val="20"/>
    </w:rPr>
  </w:style>
  <w:style w:type="character" w:customStyle="1" w:styleId="UnresolvedMention2">
    <w:name w:val="Unresolved Mention2"/>
    <w:basedOn w:val="a0"/>
    <w:semiHidden/>
    <w:rPr>
      <w:color w:val="605E5C"/>
      <w:shd w:val="clear" w:color="auto" w:fill="E1DFDD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8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qFormat/>
    <w:pPr>
      <w:widowControl w:val="0"/>
      <w:spacing w:after="0" w:line="240" w:lineRule="auto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BD194-0B7C-4219-9788-7E85413E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2820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RIABOVA Olesia</dc:creator>
  <cp:lastModifiedBy>Луцик Олена Володимирівна</cp:lastModifiedBy>
  <cp:revision>2</cp:revision>
  <cp:lastPrinted>2025-11-12T08:18:00Z</cp:lastPrinted>
  <dcterms:created xsi:type="dcterms:W3CDTF">2025-11-12T12:28:00Z</dcterms:created>
  <dcterms:modified xsi:type="dcterms:W3CDTF">2025-11-12T12:28:00Z</dcterms:modified>
</cp:coreProperties>
</file>